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9" w:rsidRPr="006A23A9" w:rsidRDefault="006A23A9" w:rsidP="00A225A9">
      <w:pPr>
        <w:pStyle w:val="a3"/>
        <w:spacing w:line="360" w:lineRule="auto"/>
        <w:ind w:left="150" w:right="150" w:firstLine="709"/>
        <w:contextualSpacing/>
        <w:jc w:val="center"/>
        <w:rPr>
          <w:b/>
          <w:color w:val="1F1F1F"/>
        </w:rPr>
      </w:pPr>
      <w:bookmarkStart w:id="0" w:name="_GoBack"/>
      <w:r w:rsidRPr="006A23A9">
        <w:rPr>
          <w:b/>
          <w:color w:val="1F1F1F"/>
        </w:rPr>
        <w:t>Перечень документов, необходимых для заключения договора энергоснабжения (купли-продажи (по</w:t>
      </w:r>
      <w:r w:rsidRPr="006A23A9">
        <w:rPr>
          <w:b/>
          <w:color w:val="1F1F1F"/>
        </w:rPr>
        <w:softHyphen/>
        <w:t>ставки) электрической энергии</w:t>
      </w:r>
      <w:r w:rsidR="00A225A9">
        <w:rPr>
          <w:b/>
          <w:color w:val="1F1F1F"/>
        </w:rPr>
        <w:t xml:space="preserve"> (мощности)</w:t>
      </w:r>
      <w:r w:rsidRPr="006A23A9">
        <w:rPr>
          <w:b/>
          <w:color w:val="1F1F1F"/>
        </w:rPr>
        <w:t>)</w:t>
      </w:r>
      <w:r w:rsidR="00A225A9">
        <w:rPr>
          <w:b/>
          <w:color w:val="1F1F1F"/>
        </w:rPr>
        <w:t>,</w:t>
      </w:r>
      <w:r w:rsidRPr="006A23A9">
        <w:rPr>
          <w:b/>
          <w:color w:val="1F1F1F"/>
        </w:rPr>
        <w:t> </w:t>
      </w:r>
      <w:r w:rsidR="00A225A9">
        <w:rPr>
          <w:b/>
          <w:color w:val="1F1F1F"/>
        </w:rPr>
        <w:t>порядок его заключения, а также способ получения информации о состоянии процесса заключения договора с потребителем (покупателем)</w:t>
      </w:r>
      <w:r w:rsidRPr="006A23A9">
        <w:rPr>
          <w:b/>
          <w:color w:val="1F1F1F"/>
        </w:rPr>
        <w:br/>
      </w:r>
    </w:p>
    <w:bookmarkEnd w:id="0"/>
    <w:p w:rsidR="00A225A9" w:rsidRDefault="00A225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>
        <w:rPr>
          <w:color w:val="1F1F1F"/>
        </w:rPr>
        <w:t>Для заключения договора</w:t>
      </w:r>
      <w:r w:rsidRPr="00A225A9">
        <w:rPr>
          <w:b/>
          <w:color w:val="1F1F1F"/>
        </w:rPr>
        <w:t xml:space="preserve"> </w:t>
      </w:r>
      <w:r w:rsidRPr="00A225A9">
        <w:rPr>
          <w:color w:val="1F1F1F"/>
        </w:rPr>
        <w:t>энергоснабжения (купли-пр</w:t>
      </w:r>
      <w:r>
        <w:rPr>
          <w:color w:val="1F1F1F"/>
        </w:rPr>
        <w:t>одажи (по</w:t>
      </w:r>
      <w:r>
        <w:rPr>
          <w:color w:val="1F1F1F"/>
        </w:rPr>
        <w:softHyphen/>
        <w:t xml:space="preserve">ставки) электрической </w:t>
      </w:r>
      <w:r w:rsidRPr="00A225A9">
        <w:rPr>
          <w:color w:val="1F1F1F"/>
        </w:rPr>
        <w:t>энергии) потребитель, который намеревается заключить договор</w:t>
      </w:r>
      <w:r>
        <w:rPr>
          <w:color w:val="1F1F1F"/>
        </w:rPr>
        <w:t>,</w:t>
      </w:r>
      <w:r w:rsidRPr="00A225A9">
        <w:rPr>
          <w:color w:val="1F1F1F"/>
        </w:rPr>
        <w:t xml:space="preserve"> направляет поставщику </w:t>
      </w:r>
      <w:r>
        <w:rPr>
          <w:color w:val="1F1F1F"/>
        </w:rPr>
        <w:t>следующие документы: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1. Заявление о заключении договора энергоснабжения (купли - продажи (поставки) элек</w:t>
      </w:r>
      <w:r w:rsidRPr="006A23A9">
        <w:rPr>
          <w:color w:val="1F1F1F"/>
        </w:rPr>
        <w:softHyphen/>
        <w:t>трической энергии) объектов с указанием наименования заявителя (наименование юридического лица или Ф.И.О предпринимателя), объектов и их местонахождения, платёж</w:t>
      </w:r>
      <w:r w:rsidRPr="006A23A9">
        <w:rPr>
          <w:color w:val="1F1F1F"/>
        </w:rPr>
        <w:softHyphen/>
        <w:t>ных реквизитов, юридического и почтового адреса заявителя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34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2.</w:t>
      </w:r>
      <w:r w:rsidR="00C40919">
        <w:rPr>
          <w:color w:val="1F1F1F"/>
        </w:rPr>
        <w:t xml:space="preserve"> </w:t>
      </w:r>
      <w:r w:rsidRPr="006A23A9">
        <w:rPr>
          <w:color w:val="1F1F1F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</w:t>
      </w:r>
      <w:r>
        <w:rPr>
          <w:color w:val="1F1F1F"/>
        </w:rPr>
        <w:t xml:space="preserve">торого размещена (опубликована) </w:t>
      </w:r>
      <w:r w:rsidRPr="006A23A9">
        <w:rPr>
          <w:color w:val="1F1F1F"/>
        </w:rPr>
        <w:t>на сайте в сети «Интернет» www.energovlz.ru </w:t>
      </w:r>
      <w:r w:rsidRPr="00C40919">
        <w:rPr>
          <w:color w:val="1F1F1F"/>
        </w:rPr>
        <w:t>и в центрах очного обслуживания (предоставляется по желанию заявителя)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34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3. Правоустанавливающие и иные документы заявителя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34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г):</w:t>
      </w:r>
    </w:p>
    <w:p w:rsid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а) копии учредительных документов (устав, учредительный договор, положение и т.д.);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>
        <w:rPr>
          <w:color w:val="1F1F1F"/>
        </w:rPr>
        <w:t>б)</w:t>
      </w:r>
      <w:r w:rsidR="00F808A2">
        <w:rPr>
          <w:color w:val="1F1F1F"/>
        </w:rPr>
        <w:t> </w:t>
      </w:r>
      <w:r w:rsidRPr="006A23A9">
        <w:rPr>
          <w:color w:val="1F1F1F"/>
        </w:rPr>
        <w:t>копия свидетельства о государственной регистрации юридического лица или индивидуального предпринимателя, или копия выписки из Единого государственного реестра юридических лиц, для индивидуальных предпринимателей - копия выписки из Единого государственного реестра индивидуальных предпринимателей</w:t>
      </w:r>
      <w:r w:rsidR="00F808A2">
        <w:rPr>
          <w:rStyle w:val="ab"/>
          <w:color w:val="1F1F1F"/>
        </w:rPr>
        <w:footnoteReference w:id="1"/>
      </w:r>
      <w:r w:rsidRPr="006A23A9">
        <w:rPr>
          <w:color w:val="1F1F1F"/>
        </w:rPr>
        <w:t>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>
        <w:rPr>
          <w:color w:val="1F1F1F"/>
        </w:rPr>
        <w:lastRenderedPageBreak/>
        <w:t xml:space="preserve">в) </w:t>
      </w:r>
      <w:r w:rsidRPr="006A23A9">
        <w:rPr>
          <w:color w:val="1F1F1F"/>
        </w:rPr>
        <w:t>копия свидетельства о постановке на учёт в налоговом органе (ИНН);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г) копия документа, подтверждающего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 (в случае подписания договора не руко</w:t>
      </w:r>
      <w:r w:rsidRPr="006A23A9">
        <w:rPr>
          <w:color w:val="1F1F1F"/>
        </w:rPr>
        <w:softHyphen/>
        <w:t>водителем организации);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д)</w:t>
      </w:r>
      <w:r w:rsidR="00F808A2">
        <w:rPr>
          <w:color w:val="1F1F1F"/>
        </w:rPr>
        <w:t> </w:t>
      </w:r>
      <w:r w:rsidRPr="006A23A9">
        <w:rPr>
          <w:color w:val="1F1F1F"/>
        </w:rPr>
        <w:t>копия документа, удостоверяющего личность, если заявителем выступает индивидуальный предприниматель;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е) копия справки статистического управления с указанием кодов видов экономической дея</w:t>
      </w:r>
      <w:r w:rsidRPr="006A23A9">
        <w:rPr>
          <w:color w:val="1F1F1F"/>
        </w:rPr>
        <w:softHyphen/>
        <w:t>тельности (для правильно</w:t>
      </w:r>
      <w:r w:rsidRPr="006A23A9">
        <w:rPr>
          <w:color w:val="1F1F1F"/>
        </w:rPr>
        <w:softHyphen/>
        <w:t>го отражения данных по потребителю в отчётах Федеральной службы государственной ста</w:t>
      </w:r>
      <w:r w:rsidRPr="006A23A9">
        <w:rPr>
          <w:color w:val="1F1F1F"/>
        </w:rPr>
        <w:softHyphen/>
        <w:t>тистики по Волгоградской области).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>
        <w:rPr>
          <w:color w:val="1F1F1F"/>
        </w:rPr>
        <w:t xml:space="preserve">4. </w:t>
      </w:r>
      <w:r w:rsidRPr="006A23A9">
        <w:rPr>
          <w:color w:val="1F1F1F"/>
        </w:rPr>
        <w:t xml:space="preserve"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6A23A9">
        <w:rPr>
          <w:color w:val="1F1F1F"/>
        </w:rPr>
        <w:t>энергопринимающие</w:t>
      </w:r>
      <w:proofErr w:type="spellEnd"/>
      <w:r w:rsidRPr="006A23A9">
        <w:rPr>
          <w:color w:val="1F1F1F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(ст. 539 Гражданско</w:t>
      </w:r>
      <w:r w:rsidRPr="006A23A9">
        <w:rPr>
          <w:color w:val="1F1F1F"/>
        </w:rPr>
        <w:softHyphen/>
        <w:t>го Кодекса РФ, п. 34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 5. Копии документов, подтверждающих технологическое присоединение (в том числе и опосредованно) в </w:t>
      </w:r>
      <w:r w:rsidRPr="00C40919">
        <w:t>установленном </w:t>
      </w:r>
      <w:r w:rsidRPr="00C40919">
        <w:rPr>
          <w:rStyle w:val="a4"/>
          <w:color w:val="auto"/>
          <w:u w:val="none"/>
        </w:rPr>
        <w:t>порядке</w:t>
      </w:r>
      <w:r w:rsidRPr="00C40919">
        <w:t> </w:t>
      </w:r>
      <w:r w:rsidRPr="006A23A9">
        <w:rPr>
          <w:color w:val="1F1F1F"/>
        </w:rPr>
        <w:t xml:space="preserve">к объектам электросетевого хозяйства сетевой организации </w:t>
      </w:r>
      <w:proofErr w:type="spellStart"/>
      <w:r w:rsidRPr="006A23A9">
        <w:rPr>
          <w:color w:val="1F1F1F"/>
        </w:rPr>
        <w:t>энергопринимающих</w:t>
      </w:r>
      <w:proofErr w:type="spellEnd"/>
      <w:r w:rsidRPr="006A23A9">
        <w:rPr>
          <w:color w:val="1F1F1F"/>
        </w:rPr>
        <w:t xml:space="preserve"> устройств, о снабжении электрической энергией которых указано в заявлении о заключении договора*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*Примечание: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Документом, подтверждающим технологическое присоединение в установленном порядке к объектам электросетевого хозяйства </w:t>
      </w:r>
      <w:proofErr w:type="spellStart"/>
      <w:r w:rsidRPr="006A23A9">
        <w:rPr>
          <w:color w:val="1F1F1F"/>
        </w:rPr>
        <w:t>энергопринимающих</w:t>
      </w:r>
      <w:proofErr w:type="spellEnd"/>
      <w:r w:rsidRPr="006A23A9">
        <w:rPr>
          <w:color w:val="1F1F1F"/>
        </w:rPr>
        <w:t xml:space="preserve"> </w:t>
      </w:r>
      <w:r w:rsidRPr="006A23A9">
        <w:rPr>
          <w:color w:val="1F1F1F"/>
        </w:rPr>
        <w:lastRenderedPageBreak/>
        <w:t>устройств, в отношении которых подано заявление о заключении договора, является акт об осуществлении технологического присоединения.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Если фактическое присоединение объектов электроэнергетики (</w:t>
      </w:r>
      <w:proofErr w:type="spellStart"/>
      <w:r w:rsidRPr="006A23A9">
        <w:rPr>
          <w:color w:val="1F1F1F"/>
        </w:rPr>
        <w:t>энергопринимающих</w:t>
      </w:r>
      <w:proofErr w:type="spellEnd"/>
      <w:r w:rsidRPr="006A23A9">
        <w:rPr>
          <w:color w:val="1F1F1F"/>
        </w:rPr>
        <w:t xml:space="preserve"> устройств) к электрическим сетям и фактический прием (подача) напряжения и мощности осуществлены до вступления в силу Постановления Правительства РФ от 07.05.2017 N 542 "Об изменении и признании утратившими силу отдельных положений актов Правительства Российской Федерации по вопросам составления документов о технологическом присоединении к электрическим сетям" (указанный документ вступил в силу с 20 мая 2017 года), документами, подтверждающими технологическое присоединение, являются акт о технологическом присоединении, составленный и подписанный потребителем и сетевой организацией (иным владельцем объектов электросетевого хозяйства, производителем электрической энергии (мощности)), к чьим сетям (энергетическим установкам) присоединены </w:t>
      </w:r>
      <w:proofErr w:type="spellStart"/>
      <w:r w:rsidRPr="006A23A9">
        <w:rPr>
          <w:color w:val="1F1F1F"/>
        </w:rPr>
        <w:t>энергопринимающие</w:t>
      </w:r>
      <w:proofErr w:type="spellEnd"/>
      <w:r w:rsidRPr="006A23A9">
        <w:rPr>
          <w:color w:val="1F1F1F"/>
        </w:rPr>
        <w:t xml:space="preserve"> устройства потребителя, и (или) акт разграничения балансовой принадлежности электросетей.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(ст. 539 Гражданско</w:t>
      </w:r>
      <w:r w:rsidRPr="006A23A9">
        <w:rPr>
          <w:color w:val="1F1F1F"/>
        </w:rPr>
        <w:softHyphen/>
        <w:t>го Кодекса РФ, п. 34, 36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04.05.2012г., п. 19 Правил недискриминационного доступа к услугам по передаче электрической энергии и оказания этих услуг, утвер</w:t>
      </w:r>
      <w:r w:rsidRPr="006A23A9">
        <w:rPr>
          <w:color w:val="1F1F1F"/>
        </w:rPr>
        <w:softHyphen/>
        <w:t>ждённых Постановлением Правительства РФ № 861 от 27.12.2004г.);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6. Копия акта допуска прибора учета в эксплуатацию, составленного в соответствии с </w:t>
      </w:r>
      <w:r w:rsidRPr="00C40919">
        <w:rPr>
          <w:rStyle w:val="a4"/>
          <w:color w:val="auto"/>
          <w:u w:val="none"/>
        </w:rPr>
        <w:t>разделом X</w:t>
      </w:r>
      <w:r>
        <w:rPr>
          <w:color w:val="1F1F1F"/>
        </w:rPr>
        <w:t xml:space="preserve"> о</w:t>
      </w:r>
      <w:r w:rsidRPr="006A23A9">
        <w:rPr>
          <w:color w:val="1F1F1F"/>
        </w:rPr>
        <w:t>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г., а если допуск в эксплуатацию прибора учета был осуществлен до вступления в силу указанного документа,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</w:t>
      </w:r>
      <w:proofErr w:type="spellStart"/>
      <w:r w:rsidRPr="006A23A9">
        <w:rPr>
          <w:color w:val="1F1F1F"/>
        </w:rPr>
        <w:t>энергосбытовой</w:t>
      </w:r>
      <w:proofErr w:type="spellEnd"/>
      <w:r w:rsidRPr="006A23A9">
        <w:rPr>
          <w:color w:val="1F1F1F"/>
        </w:rPr>
        <w:t xml:space="preserve">, </w:t>
      </w:r>
      <w:proofErr w:type="spellStart"/>
      <w:r w:rsidRPr="006A23A9">
        <w:rPr>
          <w:color w:val="1F1F1F"/>
        </w:rPr>
        <w:t>энергоснабжающей</w:t>
      </w:r>
      <w:proofErr w:type="spellEnd"/>
      <w:r w:rsidRPr="006A23A9">
        <w:rPr>
          <w:color w:val="1F1F1F"/>
        </w:rPr>
        <w:t xml:space="preserve"> организацией) и (или) сетевой организацией.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Копия паспорта-протокола измерительного комплекса для точек присоединения к объектам электросетевого хозяйства напряжением свыше 1 </w:t>
      </w:r>
      <w:proofErr w:type="spellStart"/>
      <w:r w:rsidRPr="006A23A9">
        <w:rPr>
          <w:color w:val="1F1F1F"/>
        </w:rPr>
        <w:t>кВ</w:t>
      </w:r>
      <w:proofErr w:type="spellEnd"/>
      <w:r w:rsidRPr="006A23A9">
        <w:rPr>
          <w:color w:val="1F1F1F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 (при наличии)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(ст. 539 Гражданского Кодекса РФ, п. 34, 36, 154 Основных положений функцио</w:t>
      </w:r>
      <w:r w:rsidRPr="006A23A9">
        <w:rPr>
          <w:color w:val="1F1F1F"/>
        </w:rPr>
        <w:softHyphen/>
        <w:t xml:space="preserve">нирования розничных рынков электрической энергии, утверждённых Постановлением </w:t>
      </w:r>
      <w:r w:rsidRPr="006A23A9">
        <w:rPr>
          <w:color w:val="1F1F1F"/>
        </w:rPr>
        <w:lastRenderedPageBreak/>
        <w:t>Правительства РФ № 442 от 04.05.2012 г., типовая инструкция по учету электроэнер</w:t>
      </w:r>
      <w:r w:rsidRPr="006A23A9">
        <w:rPr>
          <w:color w:val="1F1F1F"/>
        </w:rPr>
        <w:softHyphen/>
        <w:t>гии при ее производстве, передаче и распределении РД 34.09.101-94 п.10.3.);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 7. Заявка на потребление электроэнергии в </w:t>
      </w:r>
      <w:proofErr w:type="spellStart"/>
      <w:r w:rsidRPr="006A23A9">
        <w:rPr>
          <w:color w:val="1F1F1F"/>
        </w:rPr>
        <w:t>тыс.кВтч</w:t>
      </w:r>
      <w:proofErr w:type="spellEnd"/>
      <w:r w:rsidRPr="006A23A9">
        <w:rPr>
          <w:color w:val="1F1F1F"/>
        </w:rPr>
        <w:t xml:space="preserve"> с разбивкой по уровням напряжения, кварталам и месяцам, в том числе, данные по </w:t>
      </w:r>
      <w:proofErr w:type="spellStart"/>
      <w:r w:rsidRPr="006A23A9">
        <w:rPr>
          <w:color w:val="1F1F1F"/>
        </w:rPr>
        <w:t>субабонентам</w:t>
      </w:r>
      <w:proofErr w:type="spellEnd"/>
      <w:r w:rsidRPr="006A23A9">
        <w:rPr>
          <w:color w:val="1F1F1F"/>
        </w:rPr>
        <w:t xml:space="preserve"> (при их наличии)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(ст. 541 Гражданского Кодекса РФ);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8. Договорные почасовые объемы потребления электрической энергии (помесячно), по каждо</w:t>
      </w:r>
      <w:r w:rsidRPr="006A23A9">
        <w:rPr>
          <w:color w:val="1F1F1F"/>
        </w:rPr>
        <w:softHyphen/>
        <w:t xml:space="preserve">му уровню напряжения, в том числе, по </w:t>
      </w:r>
      <w:proofErr w:type="spellStart"/>
      <w:r w:rsidRPr="006A23A9">
        <w:rPr>
          <w:color w:val="1F1F1F"/>
        </w:rPr>
        <w:t>субабонентам</w:t>
      </w:r>
      <w:proofErr w:type="spellEnd"/>
      <w:r w:rsidRPr="006A23A9">
        <w:rPr>
          <w:color w:val="1F1F1F"/>
        </w:rPr>
        <w:t xml:space="preserve"> и населению отдельно (при необходимости), для потребителей пятой и шестой ценовой категории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(ст. 541 Гражданского Кодекса РФ, п.97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9. Однолинейная схема электрической сети заявителя с указанием мест установки рас</w:t>
      </w:r>
      <w:r w:rsidRPr="006A23A9">
        <w:rPr>
          <w:color w:val="1F1F1F"/>
        </w:rPr>
        <w:softHyphen/>
        <w:t>чётного учёта, подписанная уполномоченным лицом потребителя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6A23A9">
        <w:rPr>
          <w:color w:val="1F1F1F"/>
        </w:rPr>
        <w:softHyphen/>
        <w:t>ждённых Постановлением Правительства РФ № 861 от 27.12.2004 г.);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 10. Расчет максимальной мощности (в МВт) по каждой точке поставки, согласованный с сетевой организацией, с приложением документов, подтверждающих состав </w:t>
      </w:r>
      <w:proofErr w:type="spellStart"/>
      <w:r w:rsidRPr="006A23A9">
        <w:rPr>
          <w:color w:val="1F1F1F"/>
        </w:rPr>
        <w:t>энергопринимающего</w:t>
      </w:r>
      <w:proofErr w:type="spellEnd"/>
      <w:r w:rsidRPr="006A23A9">
        <w:rPr>
          <w:color w:val="1F1F1F"/>
        </w:rPr>
        <w:t xml:space="preserve"> оборудования (объектов электросетевого хозяйства), его мощность и время включения в случае отсутствия документов о технологическом присоединении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(п.13, п.18 Правил недискриминационного доступа к услугам по передаче электрической энергии и оказания этих услуг, утвер</w:t>
      </w:r>
      <w:r w:rsidRPr="006A23A9">
        <w:rPr>
          <w:color w:val="1F1F1F"/>
        </w:rPr>
        <w:softHyphen/>
        <w:t>ждённых Постановлением Правительства РФ № 861 от 27.12.2004 г.);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11. Расчет величины потерь электрической энергии (если прибор учета установлен не на границе балансовой принадлежности объектов электроэнергетики (</w:t>
      </w:r>
      <w:proofErr w:type="spellStart"/>
      <w:r w:rsidRPr="006A23A9">
        <w:rPr>
          <w:color w:val="1F1F1F"/>
        </w:rPr>
        <w:t>энергопринимающих</w:t>
      </w:r>
      <w:proofErr w:type="spellEnd"/>
      <w:r w:rsidRPr="006A23A9">
        <w:rPr>
          <w:color w:val="1F1F1F"/>
        </w:rPr>
        <w:t xml:space="preserve"> устройств)), согласованный с сетевой орга</w:t>
      </w:r>
      <w:r w:rsidRPr="006A23A9">
        <w:rPr>
          <w:color w:val="1F1F1F"/>
        </w:rPr>
        <w:softHyphen/>
        <w:t>низацией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144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</w:t>
      </w:r>
      <w:r w:rsidRPr="006A23A9">
        <w:rPr>
          <w:color w:val="1F1F1F"/>
        </w:rPr>
        <w:softHyphen/>
        <w:t>лением Правительства РФ 442 от 04.05.2012);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 12. Копия акта согласования технологической и (или) аварийной брони, составленного (измененного) и согласованного потребителем и сетевой организацией </w:t>
      </w:r>
      <w:r w:rsidRPr="006A23A9">
        <w:rPr>
          <w:color w:val="1F1F1F"/>
        </w:rPr>
        <w:lastRenderedPageBreak/>
        <w:t xml:space="preserve">(иным владельцем объектов электросетевого хозяйства, производителем электрической энергии (мощности)), к чьим объектам электросетевого хозяйства (энергетическим установкам) присоединены </w:t>
      </w:r>
      <w:proofErr w:type="spellStart"/>
      <w:r w:rsidRPr="006A23A9">
        <w:rPr>
          <w:color w:val="1F1F1F"/>
        </w:rPr>
        <w:t>энергопринимающие</w:t>
      </w:r>
      <w:proofErr w:type="spellEnd"/>
      <w:r w:rsidRPr="006A23A9">
        <w:rPr>
          <w:color w:val="1F1F1F"/>
        </w:rPr>
        <w:t xml:space="preserve"> устройства потребителя (предоставляется при его наличии у заявителя)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34, 36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г.).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 </w:t>
      </w:r>
    </w:p>
    <w:p w:rsid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Все копии документов должны быть надлежащим образом заверены (подписаны уполномоченным лицом заявителя и заверены печатью заявителя, если заявителем является юридическое лицо, или подписаны гражданином, если заявителем выступает индивидуальный предприниматель).</w:t>
      </w:r>
      <w:r>
        <w:rPr>
          <w:color w:val="1F1F1F"/>
        </w:rPr>
        <w:t xml:space="preserve"> 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Заявитель при подаче заявления и документов в месте нахождения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38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04.05.2012г.).</w:t>
      </w:r>
    </w:p>
    <w:p w:rsidR="006A23A9" w:rsidRP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 Заявитель, в случае если прошло не более 3 лет со дня расторжения договора энергоснабжения (купли-продажи (поставки) электрической энергии (мощности)), ранее заключенного им с </w:t>
      </w:r>
      <w:r w:rsidR="00245AB0">
        <w:rPr>
          <w:color w:val="1F1F1F"/>
        </w:rPr>
        <w:t xml:space="preserve">ООО </w:t>
      </w:r>
      <w:r w:rsidRPr="006A23A9">
        <w:rPr>
          <w:color w:val="1F1F1F"/>
        </w:rPr>
        <w:t>«Вол</w:t>
      </w:r>
      <w:r w:rsidR="00245AB0">
        <w:rPr>
          <w:color w:val="1F1F1F"/>
        </w:rPr>
        <w:t xml:space="preserve">жский </w:t>
      </w:r>
      <w:proofErr w:type="spellStart"/>
      <w:r w:rsidRPr="006A23A9">
        <w:rPr>
          <w:color w:val="1F1F1F"/>
        </w:rPr>
        <w:t>энергосбыт</w:t>
      </w:r>
      <w:proofErr w:type="spellEnd"/>
      <w:r w:rsidRPr="006A23A9">
        <w:rPr>
          <w:color w:val="1F1F1F"/>
        </w:rPr>
        <w:t xml:space="preserve">», с которым он имеет намерение заключить договор вновь, направляет </w:t>
      </w:r>
      <w:r w:rsidR="00245AB0">
        <w:rPr>
          <w:color w:val="1F1F1F"/>
        </w:rPr>
        <w:t xml:space="preserve">ООО </w:t>
      </w:r>
      <w:r w:rsidR="00245AB0" w:rsidRPr="006A23A9">
        <w:rPr>
          <w:color w:val="1F1F1F"/>
        </w:rPr>
        <w:t>«Вол</w:t>
      </w:r>
      <w:r w:rsidR="00245AB0">
        <w:rPr>
          <w:color w:val="1F1F1F"/>
        </w:rPr>
        <w:t xml:space="preserve">жский </w:t>
      </w:r>
      <w:proofErr w:type="spellStart"/>
      <w:r w:rsidR="00245AB0" w:rsidRPr="006A23A9">
        <w:rPr>
          <w:color w:val="1F1F1F"/>
        </w:rPr>
        <w:t>энергосбыт</w:t>
      </w:r>
      <w:proofErr w:type="spellEnd"/>
      <w:r w:rsidR="00245AB0" w:rsidRPr="006A23A9">
        <w:rPr>
          <w:color w:val="1F1F1F"/>
        </w:rPr>
        <w:t>»</w:t>
      </w:r>
      <w:r w:rsidRPr="006A23A9">
        <w:rPr>
          <w:color w:val="1F1F1F"/>
        </w:rPr>
        <w:t>:</w:t>
      </w:r>
    </w:p>
    <w:p w:rsidR="006A23A9" w:rsidRDefault="006A23A9" w:rsidP="00EA0630">
      <w:pPr>
        <w:pStyle w:val="a3"/>
        <w:numPr>
          <w:ilvl w:val="0"/>
          <w:numId w:val="1"/>
        </w:numPr>
        <w:spacing w:line="360" w:lineRule="auto"/>
        <w:ind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заявление о заключении соответствующего договора с приложением документов, указанных в пунктах </w:t>
      </w:r>
      <w:hyperlink r:id="rId8" w:history="1">
        <w:r w:rsidRPr="006A23A9">
          <w:rPr>
            <w:rStyle w:val="a4"/>
            <w:color w:val="0074B4"/>
            <w:u w:val="none"/>
          </w:rPr>
          <w:t>3</w:t>
        </w:r>
      </w:hyperlink>
      <w:r w:rsidRPr="006A23A9">
        <w:rPr>
          <w:color w:val="1F1F1F"/>
        </w:rPr>
        <w:t>, 4, 7, 8, 11 настоящего перечня;</w:t>
      </w:r>
    </w:p>
    <w:p w:rsidR="006A23A9" w:rsidRPr="006A23A9" w:rsidRDefault="006A23A9" w:rsidP="00EA0630">
      <w:pPr>
        <w:pStyle w:val="a3"/>
        <w:numPr>
          <w:ilvl w:val="0"/>
          <w:numId w:val="1"/>
        </w:numPr>
        <w:spacing w:line="360" w:lineRule="auto"/>
        <w:ind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проект договора, указанный в пункте 2 настоящего перечня (по желанию заявителя);</w:t>
      </w:r>
    </w:p>
    <w:p w:rsidR="006A23A9" w:rsidRPr="006A23A9" w:rsidRDefault="006A23A9" w:rsidP="00EA0630">
      <w:pPr>
        <w:pStyle w:val="a3"/>
        <w:numPr>
          <w:ilvl w:val="0"/>
          <w:numId w:val="1"/>
        </w:numPr>
        <w:spacing w:line="360" w:lineRule="auto"/>
        <w:ind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 xml:space="preserve">иные документы, указанные в настоящем перечне, заявитель представляет только в том случае, если они не были ранее предоставлены </w:t>
      </w:r>
      <w:r w:rsidR="00245AB0">
        <w:rPr>
          <w:color w:val="1F1F1F"/>
        </w:rPr>
        <w:t xml:space="preserve">ООО </w:t>
      </w:r>
      <w:r w:rsidR="00245AB0" w:rsidRPr="006A23A9">
        <w:rPr>
          <w:color w:val="1F1F1F"/>
        </w:rPr>
        <w:t>«Вол</w:t>
      </w:r>
      <w:r w:rsidR="00245AB0">
        <w:rPr>
          <w:color w:val="1F1F1F"/>
        </w:rPr>
        <w:t xml:space="preserve">жский </w:t>
      </w:r>
      <w:proofErr w:type="spellStart"/>
      <w:r w:rsidR="00245AB0" w:rsidRPr="006A23A9">
        <w:rPr>
          <w:color w:val="1F1F1F"/>
        </w:rPr>
        <w:t>энергосбыт</w:t>
      </w:r>
      <w:proofErr w:type="spellEnd"/>
      <w:r w:rsidR="00245AB0" w:rsidRPr="006A23A9">
        <w:rPr>
          <w:color w:val="1F1F1F"/>
        </w:rPr>
        <w:t>»</w:t>
      </w:r>
      <w:r w:rsidRPr="006A23A9">
        <w:rPr>
          <w:color w:val="1F1F1F"/>
        </w:rPr>
        <w:t xml:space="preserve"> или в них были внесены изменения после их предоставления </w:t>
      </w:r>
      <w:r w:rsidR="00245AB0">
        <w:rPr>
          <w:color w:val="1F1F1F"/>
        </w:rPr>
        <w:t xml:space="preserve">ООО </w:t>
      </w:r>
      <w:r w:rsidR="00245AB0" w:rsidRPr="006A23A9">
        <w:rPr>
          <w:color w:val="1F1F1F"/>
        </w:rPr>
        <w:t>«Вол</w:t>
      </w:r>
      <w:r w:rsidR="00245AB0">
        <w:rPr>
          <w:color w:val="1F1F1F"/>
        </w:rPr>
        <w:t xml:space="preserve">жский </w:t>
      </w:r>
      <w:r w:rsidR="00245AB0" w:rsidRPr="006A23A9">
        <w:rPr>
          <w:color w:val="1F1F1F"/>
        </w:rPr>
        <w:t>энергосбыт»</w:t>
      </w:r>
      <w:r w:rsidRPr="006A23A9">
        <w:rPr>
          <w:color w:val="1F1F1F"/>
        </w:rPr>
        <w:t xml:space="preserve"> при заключении предыдущего договора.</w:t>
      </w:r>
    </w:p>
    <w:p w:rsidR="006A23A9" w:rsidRDefault="006A23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6A23A9">
        <w:rPr>
          <w:color w:val="1F1F1F"/>
        </w:rPr>
        <w:t>(п. 37 Основных положений функцио</w:t>
      </w:r>
      <w:r w:rsidRPr="006A23A9">
        <w:rPr>
          <w:color w:val="1F1F1F"/>
        </w:rPr>
        <w:softHyphen/>
        <w:t>нирования розничных рынков электрической энергии, утверждённых Постановлением Правительства РФ № 442 от 04.05.2012 г.)</w:t>
      </w:r>
      <w:r w:rsidR="00A225A9">
        <w:rPr>
          <w:color w:val="1F1F1F"/>
        </w:rPr>
        <w:t>.</w:t>
      </w:r>
    </w:p>
    <w:p w:rsidR="00A225A9" w:rsidRPr="00A225A9" w:rsidRDefault="00A225A9" w:rsidP="00A225A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A225A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 xml:space="preserve">Информацию о состоянии процесса заключения договора можно узнать по телефону </w:t>
      </w:r>
      <w:r w:rsidRPr="00A225A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(8443) 55-63-00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а также по электронной почте </w:t>
      </w:r>
      <w:proofErr w:type="spellStart"/>
      <w:r w:rsidRPr="00A225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vlz</w:t>
      </w:r>
      <w:proofErr w:type="spellEnd"/>
      <w:r w:rsidRPr="00A22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25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energo</w:t>
      </w:r>
      <w:proofErr w:type="spellEnd"/>
      <w:r w:rsidRPr="00A22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A225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A22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25A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25A9" w:rsidRPr="00A225A9" w:rsidRDefault="00A225A9" w:rsidP="00EA0630">
      <w:pPr>
        <w:pStyle w:val="a3"/>
        <w:spacing w:line="360" w:lineRule="auto"/>
        <w:ind w:left="150" w:right="150" w:firstLine="709"/>
        <w:contextualSpacing/>
        <w:jc w:val="both"/>
        <w:rPr>
          <w:color w:val="1F1F1F"/>
        </w:rPr>
      </w:pPr>
      <w:r w:rsidRPr="00A225A9">
        <w:rPr>
          <w:color w:val="1F1F1F"/>
        </w:rPr>
        <w:t xml:space="preserve"> </w:t>
      </w:r>
    </w:p>
    <w:p w:rsidR="00433F03" w:rsidRPr="00A225A9" w:rsidRDefault="007E7583" w:rsidP="00EA063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3F03" w:rsidRPr="00A2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83" w:rsidRDefault="007E7583" w:rsidP="00961756">
      <w:pPr>
        <w:spacing w:after="0" w:line="240" w:lineRule="auto"/>
      </w:pPr>
      <w:r>
        <w:separator/>
      </w:r>
    </w:p>
  </w:endnote>
  <w:endnote w:type="continuationSeparator" w:id="0">
    <w:p w:rsidR="007E7583" w:rsidRDefault="007E7583" w:rsidP="009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83" w:rsidRDefault="007E7583" w:rsidP="00961756">
      <w:pPr>
        <w:spacing w:after="0" w:line="240" w:lineRule="auto"/>
      </w:pPr>
      <w:r>
        <w:separator/>
      </w:r>
    </w:p>
  </w:footnote>
  <w:footnote w:type="continuationSeparator" w:id="0">
    <w:p w:rsidR="007E7583" w:rsidRDefault="007E7583" w:rsidP="00961756">
      <w:pPr>
        <w:spacing w:after="0" w:line="240" w:lineRule="auto"/>
      </w:pPr>
      <w:r>
        <w:continuationSeparator/>
      </w:r>
    </w:p>
  </w:footnote>
  <w:footnote w:id="1">
    <w:p w:rsidR="00F808A2" w:rsidRDefault="00F808A2" w:rsidP="00EA063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61756">
        <w:rPr>
          <w:rFonts w:ascii="Times New Roman" w:hAnsi="Times New Roman" w:cs="Times New Roman"/>
        </w:rPr>
        <w:t xml:space="preserve">В соответствии с 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приказом ФНС России от 12 сентября 2016 года N ММВ-7-14/481@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утратившими силу отдельных приказов и отдельных положений приказов Федеральной налоговой службы", при регистрации юридических лиц, индивидуальных предпринимателей, крестьянских (фермерских) хозяйств с 1 января 2017 года вместо свидетельства о государственной регистрации выдается Лист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записи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соответствующего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реестра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– 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ЕГРЮЛ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или</w:t>
      </w:r>
      <w:r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Pr="0096175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ЕГРИП.</w:t>
      </w:r>
      <w:r w:rsidRPr="00961756">
        <w:rPr>
          <w:rFonts w:ascii="Times New Roman" w:hAnsi="Times New Roman" w:cs="Times New Roman"/>
          <w:color w:val="000000"/>
          <w:spacing w:val="2"/>
        </w:rPr>
        <w:b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1EF7"/>
    <w:multiLevelType w:val="hybridMultilevel"/>
    <w:tmpl w:val="2E72516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9DCCB50">
      <w:numFmt w:val="bullet"/>
      <w:lvlText w:val="·"/>
      <w:lvlJc w:val="left"/>
      <w:pPr>
        <w:ind w:left="2700" w:hanging="14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9"/>
    <w:rsid w:val="00245AB0"/>
    <w:rsid w:val="004B5BAF"/>
    <w:rsid w:val="004F6328"/>
    <w:rsid w:val="006A23A9"/>
    <w:rsid w:val="007E7583"/>
    <w:rsid w:val="00961756"/>
    <w:rsid w:val="009C04B4"/>
    <w:rsid w:val="00A225A9"/>
    <w:rsid w:val="00A330CE"/>
    <w:rsid w:val="00C40919"/>
    <w:rsid w:val="00EA0630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29A4-4186-4B9F-9CBE-F381CF52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3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756"/>
  </w:style>
  <w:style w:type="paragraph" w:styleId="a7">
    <w:name w:val="footer"/>
    <w:basedOn w:val="a"/>
    <w:link w:val="a8"/>
    <w:uiPriority w:val="99"/>
    <w:unhideWhenUsed/>
    <w:rsid w:val="009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756"/>
  </w:style>
  <w:style w:type="paragraph" w:styleId="a9">
    <w:name w:val="footnote text"/>
    <w:basedOn w:val="a"/>
    <w:link w:val="aa"/>
    <w:uiPriority w:val="99"/>
    <w:semiHidden/>
    <w:unhideWhenUsed/>
    <w:rsid w:val="009617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7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27201E581F7F554331918A91C23CE47865C2F958990D084CDAE4362B1E8FwC0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DCAC-31E9-4029-AB74-16D6E5F6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2019-12-03T08:24:00Z</dcterms:created>
  <dcterms:modified xsi:type="dcterms:W3CDTF">2019-12-20T07:23:00Z</dcterms:modified>
</cp:coreProperties>
</file>