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2E" w:rsidRDefault="00911C2E" w:rsidP="00911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</w:rPr>
      </w:pPr>
      <w:r w:rsidRPr="00911C2E">
        <w:rPr>
          <w:b/>
          <w:color w:val="000000"/>
        </w:rPr>
        <w:t>Расчетные способы определения объема потребленной электрической энергии (мощности)</w:t>
      </w:r>
      <w:r w:rsidRPr="00911C2E">
        <w:rPr>
          <w:b/>
          <w:color w:val="000000"/>
        </w:rPr>
        <w:t xml:space="preserve"> и основания их применения</w:t>
      </w:r>
      <w:r>
        <w:rPr>
          <w:b/>
          <w:color w:val="000000"/>
        </w:rPr>
        <w:t xml:space="preserve"> (для юридических лиц)</w:t>
      </w:r>
    </w:p>
    <w:p w:rsidR="00911C2E" w:rsidRPr="00911C2E" w:rsidRDefault="00911C2E" w:rsidP="00911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</w:rPr>
      </w:pPr>
    </w:p>
    <w:p w:rsidR="00911C2E" w:rsidRPr="00911C2E" w:rsidRDefault="00911C2E" w:rsidP="00911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911C2E">
        <w:rPr>
          <w:color w:val="000000"/>
        </w:rPr>
        <w:t>Расчетные способы определения объема потребленной электрической энергии (мощности) определены Приложением № 3 к Основным положениям функционирования розничных рынков электрической энергии, утв</w:t>
      </w:r>
      <w:r>
        <w:rPr>
          <w:color w:val="000000"/>
        </w:rPr>
        <w:t>ержденным</w:t>
      </w:r>
      <w:r w:rsidRPr="00911C2E">
        <w:rPr>
          <w:color w:val="000000"/>
        </w:rPr>
        <w:t xml:space="preserve"> Постановлением Правительства РФ № </w:t>
      </w:r>
      <w:r w:rsidR="003B28FA">
        <w:rPr>
          <w:color w:val="000000"/>
        </w:rPr>
        <w:t>442</w:t>
      </w:r>
      <w:r w:rsidRPr="00911C2E">
        <w:rPr>
          <w:color w:val="000000"/>
        </w:rPr>
        <w:t xml:space="preserve"> от 04.05.2012</w:t>
      </w:r>
      <w:r w:rsidR="003B28FA">
        <w:rPr>
          <w:color w:val="000000"/>
        </w:rPr>
        <w:t xml:space="preserve"> (далее – </w:t>
      </w:r>
      <w:r w:rsidR="008E3786">
        <w:rPr>
          <w:color w:val="000000"/>
        </w:rPr>
        <w:t>Основные п</w:t>
      </w:r>
      <w:r w:rsidR="003B28FA">
        <w:rPr>
          <w:color w:val="000000"/>
        </w:rPr>
        <w:t>оложения)</w:t>
      </w:r>
      <w:r w:rsidRPr="00911C2E">
        <w:rPr>
          <w:color w:val="000000"/>
        </w:rPr>
        <w:t>.</w:t>
      </w:r>
    </w:p>
    <w:p w:rsidR="00911C2E" w:rsidRPr="00911C2E" w:rsidRDefault="00911C2E" w:rsidP="00911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911C2E">
        <w:rPr>
          <w:color w:val="000000"/>
        </w:rPr>
        <w:t>Основаниями для применения расчетных способов определения объемов потребления электрической энергии (мощности) являются:</w:t>
      </w:r>
    </w:p>
    <w:p w:rsidR="00911C2E" w:rsidRPr="00911C2E" w:rsidRDefault="00911C2E" w:rsidP="003B28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</w:rPr>
      </w:pPr>
      <w:r w:rsidRPr="00911C2E">
        <w:rPr>
          <w:color w:val="000000"/>
        </w:rPr>
        <w:t>непредставление потребителем показаний</w:t>
      </w:r>
      <w:r w:rsidR="003B28FA">
        <w:rPr>
          <w:color w:val="000000"/>
        </w:rPr>
        <w:t xml:space="preserve"> расчетного прибора учета за 3-</w:t>
      </w:r>
      <w:r w:rsidRPr="00911C2E">
        <w:rPr>
          <w:color w:val="000000"/>
        </w:rPr>
        <w:t>й и далее расчетные периоды в установленные сроки</w:t>
      </w:r>
      <w:r w:rsidR="003B28FA">
        <w:rPr>
          <w:color w:val="000000"/>
        </w:rPr>
        <w:t xml:space="preserve"> (п. 166 </w:t>
      </w:r>
      <w:r w:rsidR="008E3786">
        <w:rPr>
          <w:color w:val="000000"/>
        </w:rPr>
        <w:t>Основны</w:t>
      </w:r>
      <w:r w:rsidR="008E3786">
        <w:rPr>
          <w:color w:val="000000"/>
        </w:rPr>
        <w:t>х</w:t>
      </w:r>
      <w:r w:rsidR="008E3786">
        <w:rPr>
          <w:color w:val="000000"/>
        </w:rPr>
        <w:t xml:space="preserve"> положени</w:t>
      </w:r>
      <w:r w:rsidR="008E3786">
        <w:rPr>
          <w:color w:val="000000"/>
        </w:rPr>
        <w:t>й</w:t>
      </w:r>
      <w:r w:rsidR="003B28FA">
        <w:rPr>
          <w:color w:val="000000"/>
        </w:rPr>
        <w:t>)</w:t>
      </w:r>
      <w:r w:rsidRPr="00911C2E">
        <w:rPr>
          <w:color w:val="000000"/>
        </w:rPr>
        <w:t>;</w:t>
      </w:r>
    </w:p>
    <w:p w:rsidR="00911C2E" w:rsidRPr="00911C2E" w:rsidRDefault="00911C2E" w:rsidP="003B28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</w:rPr>
      </w:pPr>
      <w:r w:rsidRPr="00911C2E">
        <w:rPr>
          <w:color w:val="000000"/>
        </w:rPr>
        <w:t>2-кратный недопуск к расчетному прибору учета, установленному в границах энергопринимающих устройств потребителя, для проведения контрольного снятия показаний или проведения проверки приборов учета</w:t>
      </w:r>
      <w:r w:rsidR="003B28FA">
        <w:rPr>
          <w:color w:val="000000"/>
        </w:rPr>
        <w:t xml:space="preserve"> </w:t>
      </w:r>
      <w:r w:rsidR="003B28FA">
        <w:rPr>
          <w:color w:val="000000"/>
        </w:rPr>
        <w:t xml:space="preserve">(п. </w:t>
      </w:r>
      <w:r w:rsidR="003B28FA">
        <w:rPr>
          <w:color w:val="000000"/>
        </w:rPr>
        <w:t>178</w:t>
      </w:r>
      <w:r w:rsidR="003B28FA">
        <w:rPr>
          <w:color w:val="000000"/>
        </w:rPr>
        <w:t xml:space="preserve"> </w:t>
      </w:r>
      <w:r w:rsidR="008E3786">
        <w:rPr>
          <w:color w:val="000000"/>
        </w:rPr>
        <w:t>Основны</w:t>
      </w:r>
      <w:r w:rsidR="008E3786">
        <w:rPr>
          <w:color w:val="000000"/>
        </w:rPr>
        <w:t>х</w:t>
      </w:r>
      <w:r w:rsidR="008E3786">
        <w:rPr>
          <w:color w:val="000000"/>
        </w:rPr>
        <w:t xml:space="preserve"> положени</w:t>
      </w:r>
      <w:r w:rsidR="008E3786">
        <w:rPr>
          <w:color w:val="000000"/>
        </w:rPr>
        <w:t>й</w:t>
      </w:r>
      <w:r w:rsidR="003B28FA">
        <w:rPr>
          <w:color w:val="000000"/>
        </w:rPr>
        <w:t>)</w:t>
      </w:r>
      <w:r w:rsidRPr="00911C2E">
        <w:rPr>
          <w:color w:val="000000"/>
        </w:rPr>
        <w:t>;</w:t>
      </w:r>
    </w:p>
    <w:p w:rsidR="00911C2E" w:rsidRPr="00911C2E" w:rsidRDefault="00911C2E" w:rsidP="003B28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</w:rPr>
      </w:pPr>
      <w:r w:rsidRPr="00911C2E">
        <w:rPr>
          <w:color w:val="000000"/>
        </w:rPr>
        <w:t>неисправность, утрата или истечение срока межповерочного интервала расчетного прибора учета либо его демонтаж в связи с поверкой, ремонтом или заменой</w:t>
      </w:r>
      <w:r w:rsidR="003B28FA">
        <w:rPr>
          <w:color w:val="000000"/>
        </w:rPr>
        <w:t xml:space="preserve"> </w:t>
      </w:r>
      <w:r w:rsidR="003B28FA">
        <w:rPr>
          <w:color w:val="000000"/>
        </w:rPr>
        <w:t xml:space="preserve">(п. </w:t>
      </w:r>
      <w:r w:rsidR="003B28FA">
        <w:rPr>
          <w:color w:val="000000"/>
        </w:rPr>
        <w:t>179</w:t>
      </w:r>
      <w:r w:rsidR="003B28FA">
        <w:rPr>
          <w:color w:val="000000"/>
        </w:rPr>
        <w:t xml:space="preserve"> Положений)</w:t>
      </w:r>
      <w:r w:rsidRPr="00911C2E">
        <w:rPr>
          <w:color w:val="000000"/>
        </w:rPr>
        <w:t>;</w:t>
      </w:r>
    </w:p>
    <w:p w:rsidR="00911C2E" w:rsidRPr="00911C2E" w:rsidRDefault="00911C2E" w:rsidP="003B28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</w:rPr>
      </w:pPr>
      <w:r w:rsidRPr="00911C2E">
        <w:rPr>
          <w:color w:val="000000"/>
        </w:rPr>
        <w:t>отсутствие прибора учета</w:t>
      </w:r>
      <w:r w:rsidR="003B28FA">
        <w:rPr>
          <w:color w:val="000000"/>
        </w:rPr>
        <w:t xml:space="preserve"> </w:t>
      </w:r>
      <w:r w:rsidR="003B28FA">
        <w:rPr>
          <w:color w:val="000000"/>
        </w:rPr>
        <w:t>(п. 1</w:t>
      </w:r>
      <w:r w:rsidR="003B28FA">
        <w:rPr>
          <w:color w:val="000000"/>
        </w:rPr>
        <w:t>81</w:t>
      </w:r>
      <w:r w:rsidR="003B28FA">
        <w:rPr>
          <w:color w:val="000000"/>
        </w:rPr>
        <w:t xml:space="preserve"> Положений)</w:t>
      </w:r>
      <w:r w:rsidRPr="00911C2E">
        <w:rPr>
          <w:color w:val="000000"/>
        </w:rPr>
        <w:t>;</w:t>
      </w:r>
    </w:p>
    <w:p w:rsidR="00911C2E" w:rsidRPr="00911C2E" w:rsidRDefault="00911C2E" w:rsidP="003B28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contextualSpacing/>
        <w:jc w:val="both"/>
        <w:rPr>
          <w:color w:val="000000"/>
        </w:rPr>
      </w:pPr>
      <w:r w:rsidRPr="00911C2E">
        <w:rPr>
          <w:color w:val="000000"/>
        </w:rPr>
        <w:t>выявление факта безучетного потребления электрической энергии</w:t>
      </w:r>
      <w:r w:rsidR="003B28FA">
        <w:rPr>
          <w:color w:val="000000"/>
        </w:rPr>
        <w:t xml:space="preserve"> </w:t>
      </w:r>
      <w:r w:rsidR="003B28FA">
        <w:rPr>
          <w:color w:val="000000"/>
        </w:rPr>
        <w:t xml:space="preserve">(п. </w:t>
      </w:r>
      <w:r w:rsidR="003B28FA">
        <w:rPr>
          <w:color w:val="000000"/>
        </w:rPr>
        <w:t>195</w:t>
      </w:r>
      <w:r w:rsidR="003B28FA">
        <w:rPr>
          <w:color w:val="000000"/>
        </w:rPr>
        <w:t xml:space="preserve"> </w:t>
      </w:r>
      <w:r w:rsidR="008E3786">
        <w:rPr>
          <w:color w:val="000000"/>
        </w:rPr>
        <w:t>Основны</w:t>
      </w:r>
      <w:r w:rsidR="008E3786">
        <w:rPr>
          <w:color w:val="000000"/>
        </w:rPr>
        <w:t>х</w:t>
      </w:r>
      <w:r w:rsidR="008E3786">
        <w:rPr>
          <w:color w:val="000000"/>
        </w:rPr>
        <w:t xml:space="preserve"> положени</w:t>
      </w:r>
      <w:r w:rsidR="008E3786">
        <w:rPr>
          <w:color w:val="000000"/>
        </w:rPr>
        <w:t>й</w:t>
      </w:r>
      <w:r w:rsidR="003B28FA">
        <w:rPr>
          <w:color w:val="000000"/>
        </w:rPr>
        <w:t>)</w:t>
      </w:r>
      <w:r w:rsidRPr="00911C2E">
        <w:rPr>
          <w:color w:val="000000"/>
        </w:rPr>
        <w:t>.</w:t>
      </w:r>
    </w:p>
    <w:p w:rsidR="007B0C0E" w:rsidRDefault="007B0C0E" w:rsidP="00911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</w:p>
    <w:p w:rsidR="00911C2E" w:rsidRDefault="008E3786" w:rsidP="00911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А) </w:t>
      </w:r>
      <w:r w:rsidR="007B0C0E">
        <w:rPr>
          <w:color w:val="000000"/>
        </w:rPr>
        <w:t>О</w:t>
      </w:r>
      <w:r w:rsidR="007B0C0E" w:rsidRPr="007B0C0E">
        <w:rPr>
          <w:color w:val="000000"/>
        </w:rPr>
        <w:t>бъем потребления электрической энергии (мощности) в соответствующей точке поставки, МВт∙ч, определяется:</w:t>
      </w:r>
    </w:p>
    <w:p w:rsidR="007B0C0E" w:rsidRPr="00911C2E" w:rsidRDefault="007B0C0E" w:rsidP="00911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7B0C0E">
        <w:rPr>
          <w:color w:val="000000"/>
        </w:rPr>
        <w:t xml:space="preserve">если в договоре, обеспечивающем продажу электрической энергии (мощности) на розничном рынке, имеются данные о величине максимальной мощности энергопринимающих устройств в </w:t>
      </w:r>
      <w:r w:rsidRPr="007B0C0E">
        <w:rPr>
          <w:color w:val="000000"/>
        </w:rPr>
        <w:t xml:space="preserve">соответствующей точке поставки, </w:t>
      </w:r>
      <w:r w:rsidRPr="007B0C0E">
        <w:rPr>
          <w:color w:val="000000"/>
        </w:rPr>
        <w:t>по формуле:</w:t>
      </w:r>
    </w:p>
    <w:p w:rsidR="007B0C0E" w:rsidRDefault="007B0C0E" w:rsidP="007B0C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</w:rPr>
      </w:pPr>
      <w:r w:rsidRPr="007B0C0E">
        <w:rPr>
          <w:noProof/>
          <w:color w:val="000000"/>
        </w:rPr>
        <w:drawing>
          <wp:inline distT="0" distB="0" distL="0" distR="0">
            <wp:extent cx="906145" cy="294005"/>
            <wp:effectExtent l="0" t="0" r="8255" b="0"/>
            <wp:docPr id="8" name="Рисунок 8" descr="C:\Users\Пользователь\Desktop\LAW327678_33025_20191104_1335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LAW327678_33025_20191104_13354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,</w:t>
      </w:r>
    </w:p>
    <w:p w:rsidR="00911C2E" w:rsidRPr="00911C2E" w:rsidRDefault="00911C2E" w:rsidP="00911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rPr>
          <w:color w:val="000000"/>
        </w:rPr>
      </w:pPr>
      <w:r w:rsidRPr="00911C2E">
        <w:rPr>
          <w:color w:val="000000"/>
        </w:rPr>
        <w:t>где:</w:t>
      </w:r>
    </w:p>
    <w:p w:rsidR="00911C2E" w:rsidRPr="00911C2E" w:rsidRDefault="00911C2E" w:rsidP="00911C2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911C2E">
        <w:rPr>
          <w:color w:val="000000"/>
        </w:rPr>
        <w:t>P</w:t>
      </w:r>
      <w:r w:rsidRPr="00911C2E">
        <w:rPr>
          <w:color w:val="000000"/>
          <w:vertAlign w:val="subscript"/>
        </w:rPr>
        <w:t>макс</w:t>
      </w:r>
      <w:r w:rsidRPr="00911C2E">
        <w:rPr>
          <w:color w:val="000000"/>
        </w:rPr>
        <w:t xml:space="preserve"> - максимальная мощность энергопринимающих устройств, относящаяся к соответствующей точке поставки, а в случае, если в договоре, обеспечивающем продажу электрической энергии (мощности) на розничном рынке, не предусмотрено распределение максимальной мощности по точкам поставки,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</w:t>
      </w:r>
      <w:r w:rsidRPr="00911C2E">
        <w:rPr>
          <w:color w:val="000000"/>
        </w:rPr>
        <w:lastRenderedPageBreak/>
        <w:t>допустимой длительной токовой нагрузки соответствующего вводного провода (кабеля), МВт;</w:t>
      </w:r>
    </w:p>
    <w:p w:rsidR="00433F03" w:rsidRDefault="007B0C0E" w:rsidP="007B0C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>
        <w:rPr>
          <w:color w:val="000000"/>
        </w:rPr>
        <w:t xml:space="preserve">T - </w:t>
      </w:r>
      <w:r w:rsidRPr="007B0C0E">
        <w:rPr>
          <w:color w:val="000000"/>
        </w:rPr>
        <w:t>количество часов в расчетном периоде, при определении объема потребления электрической энергии (мощности) за которые в соответствии с </w:t>
      </w:r>
      <w:hyperlink r:id="rId6" w:anchor="dst100912" w:history="1">
        <w:r w:rsidRPr="007B0C0E">
          <w:rPr>
            <w:color w:val="000000"/>
          </w:rPr>
          <w:t>пунктами 166</w:t>
        </w:r>
      </w:hyperlink>
      <w:r w:rsidRPr="007B0C0E">
        <w:rPr>
          <w:color w:val="000000"/>
        </w:rPr>
        <w:t>, </w:t>
      </w:r>
      <w:hyperlink r:id="rId7" w:anchor="dst100977" w:history="1">
        <w:r w:rsidRPr="007B0C0E">
          <w:rPr>
            <w:color w:val="000000"/>
          </w:rPr>
          <w:t>178</w:t>
        </w:r>
      </w:hyperlink>
      <w:r w:rsidRPr="007B0C0E">
        <w:rPr>
          <w:color w:val="000000"/>
        </w:rPr>
        <w:t>, </w:t>
      </w:r>
      <w:hyperlink r:id="rId8" w:anchor="dst100978" w:history="1">
        <w:r w:rsidRPr="007B0C0E">
          <w:rPr>
            <w:color w:val="000000"/>
          </w:rPr>
          <w:t>179</w:t>
        </w:r>
      </w:hyperlink>
      <w:r w:rsidRPr="007B0C0E">
        <w:rPr>
          <w:color w:val="000000"/>
        </w:rPr>
        <w:t> и </w:t>
      </w:r>
      <w:hyperlink r:id="rId9" w:anchor="dst100986" w:history="1">
        <w:r w:rsidRPr="007B0C0E">
          <w:rPr>
            <w:color w:val="000000"/>
          </w:rPr>
          <w:t>181</w:t>
        </w:r>
      </w:hyperlink>
      <w:r>
        <w:rPr>
          <w:color w:val="000000"/>
        </w:rPr>
        <w:t> </w:t>
      </w:r>
      <w:r w:rsidR="008E3786">
        <w:rPr>
          <w:color w:val="000000"/>
        </w:rPr>
        <w:t>Основны</w:t>
      </w:r>
      <w:r w:rsidR="008E3786">
        <w:rPr>
          <w:color w:val="000000"/>
        </w:rPr>
        <w:t>х</w:t>
      </w:r>
      <w:r w:rsidR="008E3786">
        <w:rPr>
          <w:color w:val="000000"/>
        </w:rPr>
        <w:t xml:space="preserve"> положени</w:t>
      </w:r>
      <w:r w:rsidR="008E3786">
        <w:rPr>
          <w:color w:val="000000"/>
        </w:rPr>
        <w:t>й</w:t>
      </w:r>
      <w:r w:rsidRPr="007B0C0E">
        <w:rPr>
          <w:color w:val="000000"/>
        </w:rPr>
        <w:t xml:space="preserve"> подлежат применению расчетные способы, или количество часов в определенном в соответствии с </w:t>
      </w:r>
      <w:hyperlink r:id="rId10" w:anchor="dst101036" w:history="1">
        <w:r w:rsidRPr="007B0C0E">
          <w:rPr>
            <w:color w:val="000000"/>
          </w:rPr>
          <w:t>пунктом 195</w:t>
        </w:r>
      </w:hyperlink>
      <w:r>
        <w:rPr>
          <w:color w:val="000000"/>
        </w:rPr>
        <w:t xml:space="preserve"> </w:t>
      </w:r>
      <w:r w:rsidR="008E3786">
        <w:rPr>
          <w:color w:val="000000"/>
        </w:rPr>
        <w:t>Основны</w:t>
      </w:r>
      <w:r w:rsidR="008E3786">
        <w:rPr>
          <w:color w:val="000000"/>
        </w:rPr>
        <w:t>х</w:t>
      </w:r>
      <w:r w:rsidR="008E3786">
        <w:rPr>
          <w:color w:val="000000"/>
        </w:rPr>
        <w:t xml:space="preserve"> положени</w:t>
      </w:r>
      <w:r w:rsidR="008E3786">
        <w:rPr>
          <w:color w:val="000000"/>
        </w:rPr>
        <w:t>й</w:t>
      </w:r>
      <w:r w:rsidRPr="007B0C0E">
        <w:rPr>
          <w:color w:val="000000"/>
        </w:rPr>
        <w:t xml:space="preserve"> периоде времени, в течение которого осуществлялось безучетное потребление электрической энергии, но не более 8760 часов, ч</w:t>
      </w:r>
      <w:r>
        <w:rPr>
          <w:color w:val="000000"/>
        </w:rPr>
        <w:t>.</w:t>
      </w:r>
    </w:p>
    <w:p w:rsidR="007B0C0E" w:rsidRDefault="007B0C0E" w:rsidP="007B0C0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7B0C0E">
        <w:rPr>
          <w:color w:val="000000"/>
        </w:rPr>
        <w:t>если в договоре, обеспечивающем продажу электрической энергии (мощности) на розничном рынке, отсутствуют данные о величине максимальной мощности энергопринимающих устройств или если при выявлении безучетного потребления было выявлено использование потребителем мощности, величина которой превышает величину максимальной мощности энергопринимающих устройств потребителя, указанную в договоре, обеспечивающем продажу электрической энергии (мощности) на розничном рынке, по формулам:</w:t>
      </w:r>
    </w:p>
    <w:p w:rsidR="007B0C0E" w:rsidRPr="007B0C0E" w:rsidRDefault="007B0C0E" w:rsidP="002D491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однофазного ввода:</w:t>
      </w:r>
    </w:p>
    <w:p w:rsidR="007B0C0E" w:rsidRPr="007B0C0E" w:rsidRDefault="007B0C0E" w:rsidP="002D491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C0E" w:rsidRPr="007B0C0E" w:rsidRDefault="007B0C0E" w:rsidP="002D491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1295"/>
      <w:bookmarkEnd w:id="0"/>
      <w:r w:rsidRPr="007B0C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94560" cy="540385"/>
            <wp:effectExtent l="0" t="0" r="0" b="0"/>
            <wp:docPr id="6" name="Рисунок 6" descr="C:\Users\Пользователь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B0C0E" w:rsidRPr="007B0C0E" w:rsidRDefault="007B0C0E" w:rsidP="002D491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0C0E" w:rsidRDefault="007B0C0E" w:rsidP="002D491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1296"/>
      <w:bookmarkEnd w:id="1"/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трехфазного ввода:</w:t>
      </w:r>
    </w:p>
    <w:p w:rsidR="007B0C0E" w:rsidRDefault="007B0C0E" w:rsidP="002D491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0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69185" cy="540385"/>
            <wp:effectExtent l="0" t="0" r="0" b="0"/>
            <wp:docPr id="7" name="Рисунок 7" descr="C:\Users\Пользователь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B0C0E" w:rsidRDefault="007B0C0E" w:rsidP="002D491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:rsidR="007B0C0E" w:rsidRPr="007B0C0E" w:rsidRDefault="007B0C0E" w:rsidP="002D491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</w:t>
      </w:r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доп.дл. </w:t>
      </w:r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допустимая длительная токовая нагрузка вводного провода (кабеля), А;</w:t>
      </w:r>
    </w:p>
    <w:p w:rsidR="007B0C0E" w:rsidRPr="007B0C0E" w:rsidRDefault="007B0C0E" w:rsidP="002D491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1300"/>
      <w:bookmarkEnd w:id="2"/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</w:t>
      </w:r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ф.ном</w:t>
      </w:r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- номинальное фазное напряжение, кВ;</w:t>
      </w:r>
    </w:p>
    <w:p w:rsidR="007B0C0E" w:rsidRPr="007B0C0E" w:rsidRDefault="00152AA2" w:rsidP="002D491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1301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cos</w:t>
      </w:r>
      <w:r w:rsidRPr="00152AA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φ</w:t>
      </w:r>
      <w:r w:rsidRPr="00152A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7B0C0E" w:rsidRPr="007B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коэффициент мощности при максимуме нагрузки. При отсутствии данных в договоре коэффициент принимается равным 0,9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0C0E" w:rsidRDefault="007B0C0E" w:rsidP="002D491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AA2" w:rsidRDefault="008E3786" w:rsidP="002D491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очасовые объемы потребления электрической энергии в соответствующей точке поставки, МВт</w:t>
      </w:r>
      <w:r w:rsidRPr="007B0C0E">
        <w:rPr>
          <w:color w:val="000000"/>
        </w:rPr>
        <w:t>∙</w:t>
      </w:r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ч, определяются по формуле:</w:t>
      </w:r>
    </w:p>
    <w:p w:rsidR="008E3786" w:rsidRDefault="008E3786" w:rsidP="002D491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7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39775" cy="501015"/>
            <wp:effectExtent l="0" t="0" r="3175" b="0"/>
            <wp:docPr id="11" name="Рисунок 11" descr="C:\Users\Пользователь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786" w:rsidRDefault="008E3786" w:rsidP="002D491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где W - объем потребления электрической энергии в соответствующей точке поставки, определенный в соответствии с </w:t>
      </w:r>
      <w:hyperlink r:id="rId14" w:anchor="dst102603" w:history="1">
        <w:r w:rsidRPr="008E37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 "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</w:t>
        </w:r>
        <w:r w:rsidRPr="008E37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"</w:t>
        </w:r>
      </w:hyperlink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МВт</w:t>
      </w:r>
      <w:r w:rsidRPr="007B0C0E">
        <w:rPr>
          <w:color w:val="000000"/>
        </w:rPr>
        <w:t>∙</w:t>
      </w:r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3786" w:rsidRDefault="008E3786" w:rsidP="002D491A">
      <w:pPr>
        <w:shd w:val="clear" w:color="auto" w:fill="FFFFFF"/>
        <w:spacing w:after="0" w:line="36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бездоговорного потребления электрической энергии, МВт</w:t>
      </w:r>
      <w:r w:rsidR="002D491A" w:rsidRPr="007B0C0E">
        <w:rPr>
          <w:color w:val="000000"/>
        </w:rPr>
        <w:t>∙</w:t>
      </w:r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ч, определяется исходя из величины допустимой длительной токовой нагрузки каждого вводного провода (кабеля) по формулам:</w:t>
      </w:r>
    </w:p>
    <w:p w:rsidR="008E3786" w:rsidRDefault="008E3786" w:rsidP="002D491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однофазного ввода:</w:t>
      </w:r>
    </w:p>
    <w:p w:rsidR="008E3786" w:rsidRPr="007B0C0E" w:rsidRDefault="008E3786" w:rsidP="002D491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7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321560" cy="540385"/>
            <wp:effectExtent l="0" t="0" r="2540" b="0"/>
            <wp:docPr id="13" name="Рисунок 13" descr="C:\Users\Пользователь\Desktop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E3786" w:rsidRDefault="008E3786" w:rsidP="002D491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786" w:rsidRDefault="008E3786" w:rsidP="002D491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0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трехфазного ввода:</w:t>
      </w:r>
    </w:p>
    <w:p w:rsidR="008E3786" w:rsidRDefault="008E3786" w:rsidP="002D491A">
      <w:pPr>
        <w:shd w:val="clear" w:color="auto" w:fill="FFFFFF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78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28570" cy="540385"/>
            <wp:effectExtent l="0" t="0" r="5080" b="0"/>
            <wp:docPr id="14" name="Рисунок 14" descr="C:\Users\Пользователь\Desktop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5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Start w:id="4" w:name="_GoBack"/>
      <w:bookmarkEnd w:id="4"/>
    </w:p>
    <w:p w:rsidR="008E3786" w:rsidRDefault="008E3786" w:rsidP="002D491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T</w:t>
      </w:r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бд</w:t>
      </w:r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количество часов в определенном в соответствии с </w:t>
      </w:r>
      <w:hyperlink r:id="rId17" w:anchor="dst933" w:history="1">
        <w:r w:rsidRPr="008E37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196</w:t>
        </w:r>
      </w:hyperlink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E3786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Pr="008E378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8E378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</w:t>
      </w:r>
      <w:r w:rsidRPr="008E378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E37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периоде времени, в течение которого осуществлялось бездоговорное потребление, но не более чем 26280 часов, ч.</w:t>
      </w:r>
    </w:p>
    <w:p w:rsidR="008E3786" w:rsidRPr="007B0C0E" w:rsidRDefault="008E3786" w:rsidP="008E3786">
      <w:pPr>
        <w:shd w:val="clear" w:color="auto" w:fill="FFFFFF"/>
        <w:spacing w:after="0" w:line="290" w:lineRule="atLeast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E3786" w:rsidRPr="007B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3090"/>
    <w:multiLevelType w:val="hybridMultilevel"/>
    <w:tmpl w:val="9E722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581ECC"/>
    <w:multiLevelType w:val="hybridMultilevel"/>
    <w:tmpl w:val="920C845C"/>
    <w:lvl w:ilvl="0" w:tplc="2EBC31E6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2E"/>
    <w:rsid w:val="00152AA2"/>
    <w:rsid w:val="002D491A"/>
    <w:rsid w:val="003B28FA"/>
    <w:rsid w:val="007B0C0E"/>
    <w:rsid w:val="008E3786"/>
    <w:rsid w:val="00911C2E"/>
    <w:rsid w:val="009C04B4"/>
    <w:rsid w:val="00A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64129-A6AD-4747-BA2E-83BE5BD6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1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1C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C2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B0C0E"/>
    <w:rPr>
      <w:color w:val="0000FF"/>
      <w:u w:val="single"/>
    </w:rPr>
  </w:style>
  <w:style w:type="character" w:customStyle="1" w:styleId="blk">
    <w:name w:val="blk"/>
    <w:basedOn w:val="a0"/>
    <w:rsid w:val="007B0C0E"/>
  </w:style>
  <w:style w:type="character" w:customStyle="1" w:styleId="nobr">
    <w:name w:val="nobr"/>
    <w:basedOn w:val="a0"/>
    <w:rsid w:val="007B0C0E"/>
  </w:style>
  <w:style w:type="character" w:customStyle="1" w:styleId="sub">
    <w:name w:val="sub"/>
    <w:basedOn w:val="a0"/>
    <w:rsid w:val="007B0C0E"/>
  </w:style>
  <w:style w:type="character" w:customStyle="1" w:styleId="sup">
    <w:name w:val="sup"/>
    <w:basedOn w:val="a0"/>
    <w:rsid w:val="008E37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8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3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7678/f7e45d62c761d80c96cf15943de9a3bd8363ac90/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7678/f7e45d62c761d80c96cf15943de9a3bd8363ac90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consultant.ru/document/cons_doc_LAW_327678/f7e45d62c761d80c96cf15943de9a3bd8363ac90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7678/f7e45d62c761d80c96cf15943de9a3bd8363ac90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://www.consultant.ru/document/cons_doc_LAW_327678/f7e45d62c761d80c96cf15943de9a3bd8363ac9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7678/f7e45d62c761d80c96cf15943de9a3bd8363ac90/" TargetMode="External"/><Relationship Id="rId14" Type="http://schemas.openxmlformats.org/officeDocument/2006/relationships/hyperlink" Target="http://www.consultant.ru/document/cons_doc_LAW_327678/45f270c4dd239e6d9d8e504c693570098e9c3c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2019-12-05T09:04:00Z</dcterms:created>
  <dcterms:modified xsi:type="dcterms:W3CDTF">2019-12-05T11:03:00Z</dcterms:modified>
</cp:coreProperties>
</file>