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2D" w:rsidRPr="008A0D1E" w:rsidRDefault="0053112D" w:rsidP="00271A8C">
      <w:pPr>
        <w:tabs>
          <w:tab w:val="left" w:pos="3060"/>
        </w:tabs>
        <w:spacing w:before="100" w:beforeAutospacing="1" w:after="100" w:afterAutospacing="1" w:line="360" w:lineRule="auto"/>
        <w:ind w:right="381" w:firstLine="709"/>
        <w:contextualSpacing/>
        <w:rPr>
          <w:rFonts w:ascii="Garamond" w:hAnsi="Garamond" w:cs="Arial"/>
        </w:rPr>
      </w:pPr>
    </w:p>
    <w:p w:rsidR="0053112D" w:rsidRPr="008A0D1E" w:rsidRDefault="0053112D" w:rsidP="00271A8C">
      <w:pPr>
        <w:tabs>
          <w:tab w:val="left" w:pos="3060"/>
        </w:tabs>
        <w:spacing w:before="100" w:beforeAutospacing="1" w:after="100" w:afterAutospacing="1" w:line="360" w:lineRule="auto"/>
        <w:ind w:right="381" w:firstLine="709"/>
        <w:contextualSpacing/>
      </w:pPr>
    </w:p>
    <w:p w:rsidR="00F6295E" w:rsidRDefault="00F6295E" w:rsidP="00D932F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  <w:bookmarkStart w:id="0" w:name="_GoBack"/>
      <w:r w:rsidRPr="008A0D1E">
        <w:rPr>
          <w:b/>
        </w:rPr>
        <w:t xml:space="preserve">Порядок определения </w:t>
      </w:r>
      <w:r w:rsidR="00D86B09">
        <w:rPr>
          <w:b/>
        </w:rPr>
        <w:t>цен (тарифов) на</w:t>
      </w:r>
      <w:r w:rsidRPr="008A0D1E">
        <w:rPr>
          <w:b/>
        </w:rPr>
        <w:t xml:space="preserve"> электрическ</w:t>
      </w:r>
      <w:r w:rsidR="00D86B09">
        <w:rPr>
          <w:b/>
        </w:rPr>
        <w:t>ую</w:t>
      </w:r>
      <w:r w:rsidRPr="008A0D1E">
        <w:rPr>
          <w:b/>
        </w:rPr>
        <w:t xml:space="preserve"> энерги</w:t>
      </w:r>
      <w:r w:rsidR="00D86B09">
        <w:rPr>
          <w:b/>
        </w:rPr>
        <w:t>ю</w:t>
      </w:r>
      <w:r w:rsidRPr="008A0D1E">
        <w:rPr>
          <w:b/>
        </w:rPr>
        <w:t xml:space="preserve"> (мощност</w:t>
      </w:r>
      <w:r w:rsidR="00D86B09">
        <w:rPr>
          <w:b/>
        </w:rPr>
        <w:t>ь</w:t>
      </w:r>
      <w:r w:rsidRPr="008A0D1E">
        <w:rPr>
          <w:b/>
        </w:rPr>
        <w:t>)</w:t>
      </w:r>
      <w:r w:rsidR="00D86B09">
        <w:rPr>
          <w:b/>
        </w:rPr>
        <w:t xml:space="preserve"> для каждой из обслуживаемых (планируемых к обслуживанию) категорий потребителей (покупателей), а также порядок смены потребителями (покупателями) ценовой категории (варианта тарифа), изменения цен на электрическую энергию (мощность); </w:t>
      </w:r>
    </w:p>
    <w:bookmarkEnd w:id="0"/>
    <w:p w:rsidR="00D932FF" w:rsidRPr="008A0D1E" w:rsidRDefault="00D932FF" w:rsidP="00D932FF">
      <w:pPr>
        <w:spacing w:before="100" w:beforeAutospacing="1" w:after="100" w:afterAutospacing="1" w:line="360" w:lineRule="auto"/>
        <w:ind w:firstLine="709"/>
        <w:contextualSpacing/>
        <w:jc w:val="center"/>
        <w:rPr>
          <w:b/>
        </w:rPr>
      </w:pPr>
    </w:p>
    <w:p w:rsidR="001D3013" w:rsidRPr="001D3013" w:rsidRDefault="001D3013" w:rsidP="00271A8C">
      <w:pPr>
        <w:spacing w:before="100" w:beforeAutospacing="1" w:after="100" w:afterAutospacing="1" w:line="360" w:lineRule="auto"/>
        <w:ind w:firstLine="709"/>
        <w:contextualSpacing/>
        <w:jc w:val="both"/>
      </w:pPr>
      <w:r w:rsidRPr="001D3013">
        <w:t>Цена электрической энергии и (мощности), дифференцируемая по ценовым категориям и уровню</w:t>
      </w:r>
      <w:r w:rsidR="00B4761E">
        <w:t xml:space="preserve"> </w:t>
      </w:r>
      <w:r w:rsidRPr="001D3013">
        <w:t>напряжения, рассчитывается на основании нерегулируемых цен, определяемых гарантирующим поставщиком по Волгоградской области в соответствии с Основными положениями функционирования розничных рынков, утвержденными постановлением Правительства Российской Федерации от 04 мая 2012 года №442 и  Постановлением Правительства Российской Федерации от 29 декабря 2011 года №1179  по соответствующей ценовой категории и уровню напряжения, а также с учетом договорной скидки, предусмотренных условиями договора.</w:t>
      </w:r>
    </w:p>
    <w:p w:rsidR="00AA5C95" w:rsidRPr="00B4761E" w:rsidRDefault="00FE2C5E" w:rsidP="00B4761E">
      <w:pPr>
        <w:spacing w:before="100" w:beforeAutospacing="1" w:after="100" w:afterAutospacing="1" w:line="360" w:lineRule="auto"/>
        <w:ind w:firstLine="709"/>
        <w:contextualSpacing/>
        <w:jc w:val="both"/>
      </w:pPr>
      <w:r w:rsidRPr="00B4761E">
        <w:t>Электрическая энергия (мощность), за исключением продажи электрической энергии</w:t>
      </w:r>
      <w:r w:rsidR="00271A8C" w:rsidRPr="00B4761E">
        <w:t xml:space="preserve"> </w:t>
      </w:r>
      <w:r w:rsidRPr="00B4761E">
        <w:t>(мощности) населению и приравненным к нему категориям потребителей, продается гарантирующими поставщиками</w:t>
      </w:r>
      <w:r w:rsidR="00B4761E" w:rsidRPr="00B4761E">
        <w:t xml:space="preserve"> и </w:t>
      </w:r>
      <w:proofErr w:type="spellStart"/>
      <w:r w:rsidR="00B4761E" w:rsidRPr="00B4761E">
        <w:t>энергосбытовыми</w:t>
      </w:r>
      <w:proofErr w:type="spellEnd"/>
      <w:r w:rsidR="00B4761E" w:rsidRPr="00B4761E">
        <w:t xml:space="preserve"> компаниями</w:t>
      </w:r>
      <w:r w:rsidRPr="00B4761E">
        <w:t xml:space="preserve"> по нерегулируемым (свободным) ценам.</w:t>
      </w:r>
      <w:r w:rsidRPr="00B4761E">
        <w:br/>
        <w:t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по шести ценовым категориям:</w:t>
      </w:r>
      <w:r w:rsidRPr="00B4761E">
        <w:br/>
      </w:r>
      <w:r w:rsidRPr="00B4761E">
        <w:rPr>
          <w:u w:val="single"/>
        </w:rPr>
        <w:t>первая ценовая категория</w:t>
      </w:r>
      <w:r w:rsidRPr="00B4761E">
        <w:t xml:space="preserve"> - для объемов покупки электрической энергии (мощности), учет которых</w:t>
      </w:r>
      <w:r w:rsidR="00271A8C" w:rsidRPr="00B4761E">
        <w:t> </w:t>
      </w:r>
      <w:r w:rsidRPr="00B4761E">
        <w:t>осуществляется в целом за расчетный период;</w:t>
      </w:r>
      <w:r w:rsidRPr="00B4761E">
        <w:br/>
      </w:r>
      <w:r w:rsidRPr="00B4761E">
        <w:rPr>
          <w:u w:val="single"/>
        </w:rPr>
        <w:t>вторая ценовая категория</w:t>
      </w:r>
      <w:r w:rsidRPr="00B4761E">
        <w:t xml:space="preserve"> - для объемов покупки электрической энергии (мощности), учет которых</w:t>
      </w:r>
      <w:r w:rsidR="00271A8C" w:rsidRPr="00B4761E">
        <w:t> </w:t>
      </w:r>
      <w:r w:rsidRPr="00B4761E">
        <w:t>осуществляется по зонам суток расчетного периода;</w:t>
      </w:r>
      <w:r w:rsidRPr="00B4761E">
        <w:br/>
      </w:r>
      <w:r w:rsidRPr="00B4761E">
        <w:rPr>
          <w:u w:val="single"/>
        </w:rPr>
        <w:t>третья ценовая категория</w:t>
      </w:r>
      <w:r w:rsidRPr="00B4761E">
        <w:t xml:space="preserve"> - для объемов покупки электрической энергии (мощности), в отношении которых осуществляется почасовой учет,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B4761E">
        <w:t>одноставочном</w:t>
      </w:r>
      <w:proofErr w:type="spellEnd"/>
      <w:r w:rsidRPr="00B4761E">
        <w:t xml:space="preserve"> выражении;</w:t>
      </w:r>
      <w:r w:rsidRPr="00B4761E">
        <w:br/>
      </w:r>
      <w:r w:rsidRPr="00B4761E">
        <w:rPr>
          <w:u w:val="single"/>
        </w:rPr>
        <w:t>четвертая ценовая категория</w:t>
      </w:r>
      <w:r w:rsidRPr="00B4761E">
        <w:t xml:space="preserve"> - для объемов покупки электрической энергии (мощности), в отношении которых осуществляется почасовой учет, а стоимость услуг по передаче</w:t>
      </w:r>
      <w:r w:rsidR="00271A8C" w:rsidRPr="00B4761E">
        <w:t xml:space="preserve"> </w:t>
      </w:r>
      <w:r w:rsidRPr="00B4761E">
        <w:t xml:space="preserve">электрической энергии определяется по тарифу на услуги по передаче электрической энергии в </w:t>
      </w:r>
      <w:proofErr w:type="spellStart"/>
      <w:r w:rsidRPr="00B4761E">
        <w:t>двухставочном</w:t>
      </w:r>
      <w:proofErr w:type="spellEnd"/>
      <w:r w:rsidRPr="00B4761E">
        <w:t xml:space="preserve"> выражении;</w:t>
      </w:r>
      <w:r w:rsidRPr="00B4761E">
        <w:br/>
      </w:r>
      <w:r w:rsidRPr="00B4761E">
        <w:rPr>
          <w:u w:val="single"/>
        </w:rPr>
        <w:t>пятая ценовая категория</w:t>
      </w:r>
      <w:r w:rsidRPr="00B4761E"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</w:t>
      </w:r>
      <w:r w:rsidRPr="00B4761E">
        <w:lastRenderedPageBreak/>
        <w:t xml:space="preserve">по передаче электрической энергии определяется по тарифу на услуги по передаче электрической энергии в </w:t>
      </w:r>
      <w:proofErr w:type="spellStart"/>
      <w:r w:rsidRPr="00B4761E">
        <w:t>одноставочном</w:t>
      </w:r>
      <w:proofErr w:type="spellEnd"/>
      <w:r w:rsidRPr="00B4761E">
        <w:t xml:space="preserve"> выражении;</w:t>
      </w:r>
      <w:r w:rsidRPr="00B4761E">
        <w:br/>
      </w:r>
      <w:r w:rsidRPr="00B4761E">
        <w:rPr>
          <w:u w:val="single"/>
        </w:rPr>
        <w:t>шестая ценовая категория</w:t>
      </w:r>
      <w:r w:rsidRPr="00B4761E"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B4761E">
        <w:t>двухставочном</w:t>
      </w:r>
      <w:proofErr w:type="spellEnd"/>
      <w:r w:rsidRPr="00B4761E">
        <w:t xml:space="preserve"> выражении.</w:t>
      </w:r>
      <w:r w:rsidRPr="00B4761E">
        <w:br/>
      </w:r>
      <w:r w:rsidRPr="00B4761E">
        <w:br/>
        <w:t>Первая ценовая категория.</w:t>
      </w:r>
      <w:r w:rsidRPr="00B4761E">
        <w:br/>
        <w:t>Предельный уровень нерегулируемых цен для первой ценовой категории состоит из ставки за электрическую энергию, которая применяется к фактическому объёму поставленной потребителю (покупателю) электрической энергии за расчетный период и состоит из следующих составляющих:</w:t>
      </w:r>
      <w:r w:rsidRPr="00B4761E">
        <w:br/>
        <w:t>средневзвешенная нерегулируемая цена на электрическую энергию (мощность);</w:t>
      </w:r>
      <w:r w:rsidRPr="00B4761E">
        <w:br/>
      </w:r>
      <w:proofErr w:type="spellStart"/>
      <w:r w:rsidRPr="00B4761E">
        <w:t>одноставочный</w:t>
      </w:r>
      <w:proofErr w:type="spellEnd"/>
      <w:r w:rsidRPr="00B4761E"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r w:rsidRPr="00B4761E">
        <w:br/>
        <w:t>сбытовая надбавка гарантирующего поставщика;</w:t>
      </w:r>
      <w:r w:rsidRPr="00B4761E"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B4761E">
        <w:br/>
      </w:r>
      <w:r w:rsidRPr="00B4761E">
        <w:br/>
        <w:t>Вторая ценовая категория.</w:t>
      </w:r>
      <w:r w:rsidRPr="00B4761E">
        <w:br/>
        <w:t>Предельный уровень нерегулируемых цен для второй ценовой категории состоит из ставки за электрическую энергию, которая применяется к фактическому объёму поставленной потребителю (покупателю) электрической энергии в соответствующей зоне суток расчетного периода и состоит из следующих составляющих:</w:t>
      </w:r>
      <w:r w:rsidRPr="00B4761E">
        <w:br/>
        <w:t>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  <w:r w:rsidRPr="00B4761E">
        <w:br/>
      </w:r>
      <w:proofErr w:type="spellStart"/>
      <w:r w:rsidRPr="00B4761E">
        <w:t>одноставочный</w:t>
      </w:r>
      <w:proofErr w:type="spellEnd"/>
      <w:r w:rsidRPr="00B4761E"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r w:rsidRPr="00B4761E">
        <w:br/>
        <w:t>сбытовая надбавка гарантирующего поставщика;</w:t>
      </w:r>
      <w:r w:rsidRPr="00B4761E"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B4761E">
        <w:br/>
      </w:r>
      <w:r w:rsidRPr="00B4761E">
        <w:br/>
        <w:t>Третья ценовая категория.</w:t>
      </w:r>
      <w:r w:rsidRPr="00B4761E">
        <w:br/>
        <w:t>Предельный уровень нерегулируемых цен для третьей ценовой категории состоит из ставки за электрическую энергию и ставки за мощность. </w:t>
      </w:r>
      <w:r w:rsidRPr="00B4761E">
        <w:br/>
        <w:t xml:space="preserve">Ставка за электрическую энергию применяется к фактически поставленному потребителю </w:t>
      </w:r>
      <w:r w:rsidRPr="00B4761E">
        <w:lastRenderedPageBreak/>
        <w:t>(покупателю) объёму электрической энергии в каждый час расчетного периода (почасовому объёму) и состоит из следующих составляющих: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  <w:r w:rsidRPr="00B4761E">
        <w:br/>
      </w:r>
      <w:proofErr w:type="spellStart"/>
      <w:r w:rsidRPr="00B4761E">
        <w:t>одноставочный</w:t>
      </w:r>
      <w:proofErr w:type="spellEnd"/>
      <w:r w:rsidRPr="00B4761E"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r w:rsidRPr="00B4761E">
        <w:br/>
        <w:t>сбытовая надбавка гарантирующего поставщика;</w:t>
      </w:r>
      <w:r w:rsidRPr="00B4761E"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B4761E">
        <w:br/>
        <w:t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мощность на оптовом рынке.</w:t>
      </w:r>
      <w:r w:rsidRPr="00B4761E">
        <w:br/>
      </w:r>
      <w:r w:rsidRPr="00B4761E">
        <w:br/>
      </w:r>
      <w:r w:rsidR="00AA5C95" w:rsidRPr="00B4761E">
        <w:t>Четвертая ценовая категория.</w:t>
      </w:r>
    </w:p>
    <w:p w:rsidR="007C4C6A" w:rsidRPr="00B4761E" w:rsidRDefault="00FE2C5E" w:rsidP="00B4761E">
      <w:pPr>
        <w:spacing w:before="100" w:beforeAutospacing="1" w:after="100" w:afterAutospacing="1" w:line="360" w:lineRule="auto"/>
        <w:contextualSpacing/>
        <w:jc w:val="both"/>
      </w:pPr>
      <w:r w:rsidRPr="00B4761E">
        <w:t>Предельный уровень нерегулируемых цен для четвертой ценовой категории состоит из ставки за электрическую энергию и ставок за мощность.</w:t>
      </w:r>
      <w:r w:rsidRPr="00B4761E">
        <w:br/>
        <w:t>Ставка за электрическую энергию применяется к фактически поставленному потребителю (покупателю) объёму электрической энергии в каждый час расчетного периода (почасовому объёму) и состоит из следующих составляющих: 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  <w:r w:rsidRPr="00B4761E">
        <w:br/>
        <w:t xml:space="preserve">ставка, отражающая удельную величину расходов на содержание электрических сетей, </w:t>
      </w:r>
      <w:proofErr w:type="spellStart"/>
      <w:r w:rsidRPr="00B4761E">
        <w:t>двухставочного</w:t>
      </w:r>
      <w:proofErr w:type="spellEnd"/>
      <w:r w:rsidRPr="00B4761E">
        <w:t xml:space="preserve"> тарифа на услуги по передаче электрической энергии;</w:t>
      </w:r>
      <w:r w:rsidRPr="00B4761E">
        <w:br/>
        <w:t>сбытовая надбавка гарантирующего поставщика;</w:t>
      </w:r>
      <w:r w:rsidRPr="00B4761E"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="00AA5C95" w:rsidRPr="00B4761E">
        <w:t xml:space="preserve"> </w:t>
      </w:r>
      <w:r w:rsidRPr="00B4761E">
        <w:t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мощность на оптовом рынке. </w:t>
      </w:r>
      <w:r w:rsidRPr="00B4761E">
        <w:br/>
        <w:t xml:space="preserve">Ставка за содержание электрических сетей </w:t>
      </w:r>
      <w:proofErr w:type="spellStart"/>
      <w:r w:rsidRPr="00B4761E">
        <w:t>двухставочного</w:t>
      </w:r>
      <w:proofErr w:type="spellEnd"/>
      <w:r w:rsidRPr="00B4761E">
        <w:t xml:space="preserve"> тарифа на услугу по передаче электрической энергии применяется к величине мощности, оплачиваемой потребителем (покупателем)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(сетевая мощность).</w:t>
      </w:r>
      <w:r w:rsidRPr="00B4761E">
        <w:br/>
      </w:r>
      <w:r w:rsidRPr="00B4761E">
        <w:br/>
      </w:r>
      <w:r w:rsidRPr="00B4761E">
        <w:lastRenderedPageBreak/>
        <w:t>Пятая ценовая категория.</w:t>
      </w:r>
      <w:r w:rsidRPr="00B4761E">
        <w:br/>
        <w:t>Предельный уровень нерегулируемых цен для пятой ценовой категории состоит из ставок за электрическую энергию и ставки за мощность.</w:t>
      </w:r>
      <w:r w:rsidRPr="00B4761E">
        <w:br/>
        <w:t>Ставка за электрическую энергию применяется к фактически поставленному потребителю (покупателю) почасовому объему покупки электрической в расчетном периоде и состоит из следующих составляющих: 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вперед;</w:t>
      </w:r>
      <w:r w:rsidRPr="00B4761E">
        <w:br/>
      </w:r>
      <w:proofErr w:type="spellStart"/>
      <w:r w:rsidRPr="00B4761E">
        <w:t>одноставочный</w:t>
      </w:r>
      <w:proofErr w:type="spellEnd"/>
      <w:r w:rsidRPr="00B4761E"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сетях;</w:t>
      </w:r>
      <w:r w:rsidRPr="00B4761E">
        <w:br/>
        <w:t>сбытовая надбавка гарантирующего поставщика;</w:t>
      </w:r>
      <w:r w:rsidRPr="00B4761E"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B4761E">
        <w:br/>
        <w:t>Ставки за электрическую энергию в части оплаты отклонений фактических объёмов потребления от плановых объёмов определяются и применяются в следующем порядке: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фактического почасового потребления над плановым;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планового почасового потребления над фактическим;</w:t>
      </w:r>
      <w:r w:rsidRPr="00B4761E"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и применяемая к сумме плановых почасовых объемов покупки электрической энергии потребителя (покупателя) за расчетный период;</w:t>
      </w:r>
      <w:r w:rsidRPr="00B4761E"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и применяемая к сумме абсолютных значений разностей фактических и плановых почасовых объемов покупки электрической энергии потребителя (покупателя) за расчетный период.</w:t>
      </w:r>
      <w:r w:rsidRPr="00B4761E">
        <w:br/>
        <w:t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мощность на оптовом рынке.</w:t>
      </w:r>
      <w:r w:rsidRPr="00B4761E">
        <w:br/>
      </w:r>
      <w:r w:rsidRPr="00B4761E">
        <w:lastRenderedPageBreak/>
        <w:br/>
        <w:t>Шестая ценовая категория.</w:t>
      </w:r>
      <w:r w:rsidRPr="00B4761E">
        <w:br/>
        <w:t>Предельный уровень нерегулируемых цен для шестой ценовой категории состоит из ставок за электрическую энергию и ставок за мощность.</w:t>
      </w:r>
      <w:r w:rsidRPr="00B4761E">
        <w:br/>
        <w:t>Ставка за электрическую энергию применяется к фактически поставленному потребителю (покупателю) почасовому объему покупки электрической в расчетном периоде и состоит из следующих составляющих: 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вперед;</w:t>
      </w:r>
      <w:r w:rsidRPr="00B4761E">
        <w:br/>
        <w:t xml:space="preserve">ставка, отражающая удельную величину расходов на содержание электрических сетей, </w:t>
      </w:r>
      <w:proofErr w:type="spellStart"/>
      <w:r w:rsidRPr="00B4761E">
        <w:t>двухставочного</w:t>
      </w:r>
      <w:proofErr w:type="spellEnd"/>
      <w:r w:rsidRPr="00B4761E">
        <w:t xml:space="preserve"> тарифа на услуги по передаче электрической энергии;</w:t>
      </w:r>
      <w:r w:rsidRPr="00B4761E">
        <w:br/>
        <w:t>сбытовая надбавка гарантирующего поставщика;</w:t>
      </w:r>
      <w:r w:rsidRPr="00B4761E">
        <w:br/>
        <w:t>плата за иные услуги, оказание которых является неотъемлемой частью процесса поставки электрической энергии потребителям.</w:t>
      </w:r>
      <w:r w:rsidRPr="00B4761E">
        <w:br/>
        <w:t>Ставки за электрическую энергию в части оплаты отклонений фактических объёмов потребления от плановых объёмов определяются и применяются в следующем порядке: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фактического почасового потребления над плановым;</w:t>
      </w:r>
      <w:r w:rsidRPr="00B4761E">
        <w:br/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и применяемая к объему превышения планового почасового потребления над фактическим;</w:t>
      </w:r>
      <w:r w:rsidRPr="00B4761E"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и применяемая к сумме плановых почасовых объемов покупки электрической энергии потребителя (покупателя) за расчетный период;</w:t>
      </w:r>
      <w:r w:rsidRPr="00B4761E">
        <w:br/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и применяемая к сумме абсолютных значений разностей фактических и плановых почасовых объемов покупки электрической энергии потребителя (покупателя) за расчетный период.</w:t>
      </w:r>
      <w:r w:rsidRPr="00B4761E">
        <w:br/>
        <w:t xml:space="preserve">Ставка за мощность применяется к фактически поставленному потребителю (покупателю) объёму мощности в расчетном периоде и состоит из средневзвешенной нерегулируемой цены на </w:t>
      </w:r>
      <w:r w:rsidRPr="00B4761E">
        <w:lastRenderedPageBreak/>
        <w:t>мощность на оптовом рынке. </w:t>
      </w:r>
      <w:r w:rsidRPr="00B4761E">
        <w:br/>
        <w:t xml:space="preserve">Ставка за содержание электрических сетей </w:t>
      </w:r>
      <w:proofErr w:type="spellStart"/>
      <w:r w:rsidRPr="00B4761E">
        <w:t>двухставочного</w:t>
      </w:r>
      <w:proofErr w:type="spellEnd"/>
      <w:r w:rsidRPr="00B4761E">
        <w:t xml:space="preserve"> тарифа на услугу по передаче электрической энергии применяется к величине мощности, оплачиваемой потребителем (покупателем)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(сетевая мощность).</w:t>
      </w:r>
      <w:r w:rsidRPr="00B4761E">
        <w:br/>
      </w:r>
      <w:r w:rsidRPr="00B4761E">
        <w:br/>
        <w:t xml:space="preserve">Единые котловые тарифы на услуги по передаче электрической энергии по электрическим сетям </w:t>
      </w:r>
      <w:r w:rsidR="00CD767A" w:rsidRPr="00B4761E">
        <w:t>Волгоградской</w:t>
      </w:r>
      <w:r w:rsidRPr="00B4761E">
        <w:t xml:space="preserve"> области устанавливаются </w:t>
      </w:r>
      <w:r w:rsidR="00CD767A" w:rsidRPr="00B4761E">
        <w:t xml:space="preserve">Комитетом </w:t>
      </w:r>
      <w:r w:rsidRPr="00B4761E">
        <w:t xml:space="preserve">тарифного регулирования </w:t>
      </w:r>
      <w:r w:rsidR="00CD767A" w:rsidRPr="00B4761E">
        <w:t xml:space="preserve">Волгоградской </w:t>
      </w:r>
      <w:r w:rsidRPr="00B4761E">
        <w:t xml:space="preserve">области в </w:t>
      </w:r>
      <w:proofErr w:type="spellStart"/>
      <w:r w:rsidRPr="00B4761E">
        <w:t>одноставочном</w:t>
      </w:r>
      <w:proofErr w:type="spellEnd"/>
      <w:r w:rsidRPr="00B4761E">
        <w:t xml:space="preserve"> (1,2,3 и 5 ценовые категории) и </w:t>
      </w:r>
      <w:proofErr w:type="spellStart"/>
      <w:r w:rsidRPr="00B4761E">
        <w:t>двухставочном</w:t>
      </w:r>
      <w:proofErr w:type="spellEnd"/>
      <w:r w:rsidRPr="00B4761E">
        <w:t xml:space="preserve"> (4 и 6 ценовые категории) выражении для следующих диапазонов напряжений НН -0,4 </w:t>
      </w:r>
      <w:proofErr w:type="spellStart"/>
      <w:r w:rsidRPr="00B4761E">
        <w:t>кВ</w:t>
      </w:r>
      <w:proofErr w:type="spellEnd"/>
      <w:r w:rsidRPr="00B4761E">
        <w:t xml:space="preserve">; СН2 -6-10 </w:t>
      </w:r>
      <w:proofErr w:type="spellStart"/>
      <w:r w:rsidRPr="00B4761E">
        <w:t>кВ</w:t>
      </w:r>
      <w:proofErr w:type="spellEnd"/>
      <w:r w:rsidRPr="00B4761E">
        <w:t xml:space="preserve">; СН1 -35 </w:t>
      </w:r>
      <w:proofErr w:type="spellStart"/>
      <w:r w:rsidRPr="00B4761E">
        <w:t>кВ</w:t>
      </w:r>
      <w:proofErr w:type="spellEnd"/>
      <w:r w:rsidRPr="00B4761E">
        <w:t xml:space="preserve">; ВН-110 </w:t>
      </w:r>
      <w:proofErr w:type="spellStart"/>
      <w:r w:rsidRPr="00B4761E">
        <w:t>кВ</w:t>
      </w:r>
      <w:proofErr w:type="spellEnd"/>
      <w:r w:rsidRPr="00B4761E">
        <w:t xml:space="preserve"> и более.</w:t>
      </w:r>
      <w:r w:rsidRPr="00B4761E">
        <w:br/>
      </w:r>
      <w:r w:rsidRPr="00B4761E">
        <w:br/>
        <w:t xml:space="preserve">Сбытовая надбавка гарантирующего поставщика устанавливается </w:t>
      </w:r>
      <w:r w:rsidR="00CD767A" w:rsidRPr="00B4761E">
        <w:t xml:space="preserve">Комитетом тарифного регулирования Волгоградской области </w:t>
      </w:r>
      <w:r w:rsidRPr="00B4761E">
        <w:t xml:space="preserve">и различается по размеру для подгрупп группы «прочие потребители» в зависимости от величины максимальной мощности принадлежащих им </w:t>
      </w:r>
      <w:proofErr w:type="spellStart"/>
      <w:r w:rsidRPr="00B4761E">
        <w:t>энергопринимающих</w:t>
      </w:r>
      <w:proofErr w:type="spellEnd"/>
      <w:r w:rsidRPr="00B4761E">
        <w:t xml:space="preserve"> устройств: </w:t>
      </w:r>
      <w:r w:rsidR="00AA5C95" w:rsidRPr="00B4761E">
        <w:t xml:space="preserve">«менее 670 кВт»; «от 670 кВт до </w:t>
      </w:r>
      <w:r w:rsidRPr="00B4761E">
        <w:t>10 МВт»;</w:t>
      </w:r>
      <w:r w:rsidR="00AA5C95" w:rsidRPr="00B4761E">
        <w:t xml:space="preserve"> </w:t>
      </w:r>
      <w:r w:rsidRPr="00B4761E">
        <w:t>«не менее 10 МВт». </w:t>
      </w:r>
      <w:r w:rsidRPr="00B4761E">
        <w:br/>
        <w:t>Часы для определения объёма фактически поставленной мощности потребителю (покупателю) и составляющие предельных уровней нерегулируемых цен на оптовом рынке за расчетный период рассчитываются и публикуются коммерческим оператором оптового рынка (АО АТС).</w:t>
      </w:r>
    </w:p>
    <w:p w:rsidR="00AA5C95" w:rsidRDefault="00AA5C95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D1E">
        <w:rPr>
          <w:rFonts w:ascii="Times New Roman" w:hAnsi="Times New Roman" w:cs="Times New Roman"/>
          <w:b/>
          <w:sz w:val="24"/>
          <w:szCs w:val="24"/>
        </w:rPr>
        <w:t>Порядок смены потребителем (покупателем) ценовой категории (варианта тарифа), изменения цен на электрическую энергию (мощность)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>В соответствии с пунктом 97 «Основных положений функционирования розничных рынков электрической энергии»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D1E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РФ от 04.05.2012 г. № 442: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Потребители максимальная мощность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 (совокупности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устройств) которых в границах балансовой принадлежности менее 670 кВт (покупатели в отношении таких потребителей), осуществляют выбор ценовой категории самостоятельно с учетом положений настоящего пункта посредством уведомления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 энергии) и имеют право выбрать: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lastRenderedPageBreak/>
        <w:t xml:space="preserve">первую ценовую категорию -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вторую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третью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четвертую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двухставочному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пятую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шестую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двухставочному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энергии, а также при включении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суток.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Потребители с максимальной мощностью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 (совокупности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устройств) не менее 670 кВт осуществляют выбор ценовой категории самостоятельно с учетом положений настоящего пункта посредством уведомления поставщика в </w:t>
      </w:r>
      <w:r w:rsidRPr="008A0D1E">
        <w:rPr>
          <w:rFonts w:ascii="Times New Roman" w:hAnsi="Times New Roman" w:cs="Times New Roman"/>
          <w:sz w:val="24"/>
          <w:szCs w:val="24"/>
        </w:rPr>
        <w:lastRenderedPageBreak/>
        <w:t>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 энергии) и имеют право выбрать: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третью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четвертую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двухставочному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пятую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 и включения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шестую ценовую категорию - в случае,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двухставочному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энергии, а также при включении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суток.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При этом в случае отсутствия уведомления о выборе иной, кроме первой и второй ценовых категорий, для расчетов за электрическую энергию (мощность) начиная с 1 июля 2013 г. в отношении потребителей с максимальной мощностью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 (совокупности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устройств) не менее 670 кВт применяется третья ценовая </w:t>
      </w:r>
      <w:r w:rsidRPr="008A0D1E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(для случая применения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тарифа на услуги по передаче электрической энергии) или четвертая ценовая категория (для случая применения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двухставочного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тарифа на услуги по передаче электрической энергии).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>В случае отсутствия уведомления о выборе ценовой категории для расчетов за электрическую энергию (мощность) на территориях отдельных частей ценовых зон оптового рынка, ранее относившихся к технологически изолированным территориальным электроэнергетическим системам, для которых Правительством Российской Федерации устанавливаются особенности функционирования оптового и розничных рынков, применяются: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с 1 января 2017 г. - первая ценовая категория в случае, если по состоянию на 31 декабря 2016 г. применялась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одноставочная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цена (тариф), и вторая ценовая категория в случае, если по состоянию на 31 декабря 2016 г. применялась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одноставочная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цена (тариф), дифференцированная по 2 или 3 зонам суток;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с 1 июля 2017 г. - третья ценовая категория в отношении потребителей с максимальной мощностью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 (совокупности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устройств, имеющих между собой электрические связи через принадлежащие потребителю объекты электросетевого хозяйства) не менее 670 кВт.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>В случае отсутствия уведомления о выборе ценовой категории для расчетов за электрическую энергию (мощность) на территориях,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территорий, которые объединены в ценовые зоны оптового рынка, применяются: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с даты включения - первая ценовая категория в случае, если по состоянию на дату, предшествующую дате включения, применялась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одноставочная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цена (тариф), и вторая ценовая категория в случае, если по состоянию на дату, предшествующую дате включения, применялась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одноставочная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цена (тариф), дифференцированная по 2 или 3 зонам суток, и четвертая ценовая категория в случае, если по состоянию на дату, предшествующую дате включения, применялась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трехставочная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цена (тариф);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с 1 июля года, следующего за годом включения, - третья ценовая категория в отношении потребителей с максимальной мощностью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 (совокупности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устройств, имеющих между собой электрические связи через принадлежащие потребителю объекты электросетевого хозяйства) не менее 670 кВт.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Изменение ценовой категории в рамках требований, предусмотренных настоящим пунктом, осуществляется путем направления уведомления поставщику за 10 рабочих дней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Основами ценообразования в </w:t>
      </w:r>
      <w:r w:rsidRPr="008A0D1E">
        <w:rPr>
          <w:rFonts w:ascii="Times New Roman" w:hAnsi="Times New Roman" w:cs="Times New Roman"/>
          <w:sz w:val="24"/>
          <w:szCs w:val="24"/>
        </w:rPr>
        <w:lastRenderedPageBreak/>
        <w:t>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настоящим документом, а также указанными Основами ценообразования.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>Поставщик обязан производить расчеты по ценовой категории, указанной в уведомлении об изменении ценовой категории, с 1-го числа месяца, следующего за месяцем, в котором потребитель (покупатель) направил соответствующее уведомление, но не ранее: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>даты, когда были допущены в эксплуатацию приборы учета, позволяющие измерять объемы потребления электрической энергии по зонам суток (переход ко второй ценовой категории);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>даты, когда были допущены в эксплуатацию приборы учета, позволяющие измерять почасовые объемы потребления электрической энергии (переход к третьей - шестой ценовым категориям);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1E">
        <w:rPr>
          <w:rFonts w:ascii="Times New Roman" w:hAnsi="Times New Roman" w:cs="Times New Roman"/>
          <w:sz w:val="24"/>
          <w:szCs w:val="24"/>
        </w:rPr>
        <w:t xml:space="preserve">Потребители,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присоединены, в том числе опосредованно через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объекты по производству электрической энергии (мощности), объекты электросетевого хозяйства лиц, не оказывающих услуги по передаче, к объектам электросетевого хозяйства, входящим в единую национальную (общероссийскую) электрическую сеть, в том числе к объектам и (или) их частям, переданным организацией по управлению единой национальной (общероссийской) электрической сетью в аренду территориальным сетевым организациям (покупатели в отношении таких потребителей), а также потребители,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энергии, выбирают между четвертой и шестой ценовыми категориями. При этом указанные потребители (покупатели) имеют право выбрать шестую ценовую категорию, если </w:t>
      </w:r>
      <w:proofErr w:type="spellStart"/>
      <w:r w:rsidRPr="008A0D1E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8A0D1E"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включения в договор энергоснабжения (купли-продажи (поставки) электрической энергии (мощности)) условия о планировании объемов потребления электрической энергии по часам суток. При этом в случае отсутствия уведомления о выборе четвертой или шестой ценовой категории для расчетов за электрическую энергию (мощность) в отношении указанных потребителей (покупателей) применяется четвертая ценовая категория.</w:t>
      </w: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D1E" w:rsidRPr="008A0D1E" w:rsidRDefault="008A0D1E" w:rsidP="00271A8C">
      <w:pPr>
        <w:pStyle w:val="ConsPlusNormal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13D" w:rsidRPr="008A0D1E" w:rsidRDefault="0090713D" w:rsidP="00271A8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Garamond" w:hAnsi="Garamond" w:cs="Arial"/>
        </w:rPr>
      </w:pPr>
    </w:p>
    <w:p w:rsidR="00942A1C" w:rsidRPr="008A0D1E" w:rsidRDefault="00942A1C" w:rsidP="00271A8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Garamond" w:hAnsi="Garamond"/>
          <w:szCs w:val="22"/>
        </w:rPr>
      </w:pPr>
    </w:p>
    <w:p w:rsidR="009673A6" w:rsidRPr="008A0D1E" w:rsidRDefault="009673A6" w:rsidP="00271A8C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7C4C6A" w:rsidRPr="008A0D1E" w:rsidRDefault="007C4C6A" w:rsidP="00271A8C">
      <w:pPr>
        <w:spacing w:before="100" w:beforeAutospacing="1" w:after="100" w:afterAutospacing="1" w:line="360" w:lineRule="auto"/>
        <w:ind w:firstLine="709"/>
        <w:contextualSpacing/>
        <w:jc w:val="both"/>
      </w:pPr>
    </w:p>
    <w:p w:rsidR="009A6888" w:rsidRPr="008A0D1E" w:rsidRDefault="009A6888" w:rsidP="00271A8C">
      <w:pPr>
        <w:tabs>
          <w:tab w:val="left" w:pos="2505"/>
        </w:tabs>
        <w:spacing w:before="100" w:beforeAutospacing="1" w:after="100" w:afterAutospacing="1" w:line="360" w:lineRule="auto"/>
        <w:ind w:firstLine="709"/>
        <w:contextualSpacing/>
      </w:pPr>
    </w:p>
    <w:sectPr w:rsidR="009A6888" w:rsidRPr="008A0D1E" w:rsidSect="009071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5E"/>
    <w:rsid w:val="00005FEB"/>
    <w:rsid w:val="00016CF2"/>
    <w:rsid w:val="000746D2"/>
    <w:rsid w:val="000C7FA2"/>
    <w:rsid w:val="000F696B"/>
    <w:rsid w:val="00103720"/>
    <w:rsid w:val="0011705C"/>
    <w:rsid w:val="00195E51"/>
    <w:rsid w:val="001B0BF7"/>
    <w:rsid w:val="001C5EBD"/>
    <w:rsid w:val="001D22EF"/>
    <w:rsid w:val="001D3013"/>
    <w:rsid w:val="001D6C1F"/>
    <w:rsid w:val="00230846"/>
    <w:rsid w:val="00263634"/>
    <w:rsid w:val="0026402C"/>
    <w:rsid w:val="00271A8C"/>
    <w:rsid w:val="00275794"/>
    <w:rsid w:val="00286709"/>
    <w:rsid w:val="002B2A0F"/>
    <w:rsid w:val="002B6C79"/>
    <w:rsid w:val="00320621"/>
    <w:rsid w:val="003A3E8D"/>
    <w:rsid w:val="003A4B2B"/>
    <w:rsid w:val="003B3E28"/>
    <w:rsid w:val="003E3E82"/>
    <w:rsid w:val="00407258"/>
    <w:rsid w:val="0040764C"/>
    <w:rsid w:val="0041787D"/>
    <w:rsid w:val="00480EC5"/>
    <w:rsid w:val="004955C8"/>
    <w:rsid w:val="005018CF"/>
    <w:rsid w:val="0053112D"/>
    <w:rsid w:val="0056704B"/>
    <w:rsid w:val="005832A7"/>
    <w:rsid w:val="0059425A"/>
    <w:rsid w:val="005B578A"/>
    <w:rsid w:val="0067476E"/>
    <w:rsid w:val="006A7A4F"/>
    <w:rsid w:val="006D5025"/>
    <w:rsid w:val="00715A4B"/>
    <w:rsid w:val="00750D56"/>
    <w:rsid w:val="00757166"/>
    <w:rsid w:val="00760393"/>
    <w:rsid w:val="00763CEA"/>
    <w:rsid w:val="007A423F"/>
    <w:rsid w:val="007C321E"/>
    <w:rsid w:val="007C4C6A"/>
    <w:rsid w:val="007D1548"/>
    <w:rsid w:val="00822CD6"/>
    <w:rsid w:val="0084353F"/>
    <w:rsid w:val="0086098C"/>
    <w:rsid w:val="008958B8"/>
    <w:rsid w:val="008A0D1E"/>
    <w:rsid w:val="008C0C60"/>
    <w:rsid w:val="008D0001"/>
    <w:rsid w:val="0090713D"/>
    <w:rsid w:val="00915B65"/>
    <w:rsid w:val="00941DB6"/>
    <w:rsid w:val="00942A1C"/>
    <w:rsid w:val="009673A6"/>
    <w:rsid w:val="009722EB"/>
    <w:rsid w:val="009A6888"/>
    <w:rsid w:val="009B0291"/>
    <w:rsid w:val="009C2C8D"/>
    <w:rsid w:val="009C3598"/>
    <w:rsid w:val="00A551DA"/>
    <w:rsid w:val="00A634D0"/>
    <w:rsid w:val="00A87848"/>
    <w:rsid w:val="00AA5C95"/>
    <w:rsid w:val="00AB2C8F"/>
    <w:rsid w:val="00AF1E72"/>
    <w:rsid w:val="00B3744F"/>
    <w:rsid w:val="00B4761E"/>
    <w:rsid w:val="00BB324E"/>
    <w:rsid w:val="00BC47C5"/>
    <w:rsid w:val="00BD187A"/>
    <w:rsid w:val="00BE1BC2"/>
    <w:rsid w:val="00C02DDD"/>
    <w:rsid w:val="00C30E46"/>
    <w:rsid w:val="00CC25BF"/>
    <w:rsid w:val="00CD767A"/>
    <w:rsid w:val="00D707A4"/>
    <w:rsid w:val="00D86B09"/>
    <w:rsid w:val="00D932FF"/>
    <w:rsid w:val="00DC11B5"/>
    <w:rsid w:val="00DD54B7"/>
    <w:rsid w:val="00DE45F7"/>
    <w:rsid w:val="00E26D95"/>
    <w:rsid w:val="00E35ECC"/>
    <w:rsid w:val="00E3732C"/>
    <w:rsid w:val="00E607AA"/>
    <w:rsid w:val="00ED07C8"/>
    <w:rsid w:val="00EF756B"/>
    <w:rsid w:val="00F07447"/>
    <w:rsid w:val="00F6295E"/>
    <w:rsid w:val="00F86330"/>
    <w:rsid w:val="00FC534F"/>
    <w:rsid w:val="00FD7463"/>
    <w:rsid w:val="00FE2C5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2CE32-A701-4D7D-8C75-E40D2776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55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Placeholder Text"/>
    <w:basedOn w:val="a0"/>
    <w:uiPriority w:val="99"/>
    <w:semiHidden/>
    <w:rsid w:val="005832A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83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0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7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Учетная запись Майкрософт</cp:lastModifiedBy>
  <cp:revision>10</cp:revision>
  <cp:lastPrinted>2017-11-29T13:39:00Z</cp:lastPrinted>
  <dcterms:created xsi:type="dcterms:W3CDTF">2019-12-18T08:28:00Z</dcterms:created>
  <dcterms:modified xsi:type="dcterms:W3CDTF">2019-12-20T07:47:00Z</dcterms:modified>
</cp:coreProperties>
</file>